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auto"/>
          <w:spacing w:val="20"/>
          <w:sz w:val="52"/>
          <w:szCs w:val="52"/>
          <w:highlight w:val="none"/>
        </w:rPr>
      </w:pPr>
      <w:r/>
      <w:bookmarkStart w:id="0" w:name="_Toc34087972"/>
      <w:r/>
      <w:bookmarkStart w:id="1" w:name="_Toc9638"/>
      <w:r/>
      <w:r/>
    </w:p>
    <w:p>
      <w:pPr>
        <w:jc w:val="center"/>
        <w:rPr>
          <w:rFonts w:ascii="宋体" w:hAnsi="宋体" w:cs="宋体"/>
          <w:b/>
          <w:bCs w:val="0"/>
          <w:color w:val="auto"/>
          <w:spacing w:val="20"/>
          <w:sz w:val="52"/>
          <w:szCs w:val="52"/>
          <w:highlight w:val="none"/>
        </w:rPr>
      </w:pPr>
      <w:r>
        <w:rPr>
          <w:rFonts w:hint="eastAsia" w:ascii="宋体" w:hAnsi="宋体" w:cs="宋体"/>
          <w:b/>
          <w:bCs w:val="0"/>
          <w:color w:val="auto"/>
          <w:spacing w:val="20"/>
          <w:sz w:val="52"/>
          <w:szCs w:val="52"/>
          <w:highlight w:val="none"/>
        </w:rPr>
        <w:t xml:space="preserve">竞  争  性  磋  商</w:t>
      </w:r>
      <w:r>
        <w:rPr>
          <w:rFonts w:ascii="宋体" w:hAnsi="宋体" w:cs="宋体"/>
          <w:b/>
          <w:bCs w:val="0"/>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197485</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9.0pt,15.5pt" to="-8.9pt,15.5pt" filled="f" strokecolor="#000000" strokeweight="0.75pt"/>
            </w:pict>
          </mc:Fallback>
        </mc:AlternateContent>
      </w:r>
      <w:r/>
    </w:p>
    <w:p>
      <w:pPr>
        <w:jc w:val="center"/>
        <w:rPr>
          <w:rFonts w:ascii="宋体" w:hAnsi="宋体" w:cs="宋体"/>
          <w:bCs/>
          <w:color w:val="auto"/>
          <w:spacing w:val="20"/>
          <w:sz w:val="52"/>
          <w:szCs w:val="52"/>
          <w:highlight w:val="none"/>
        </w:rPr>
      </w:pPr>
      <w:r>
        <w:rPr>
          <w:rFonts w:hint="eastAsia" w:ascii="宋体" w:hAnsi="宋体" w:cs="宋体"/>
          <w:b/>
          <w:bCs w:val="0"/>
          <w:color w:val="auto"/>
          <w:spacing w:val="20"/>
          <w:sz w:val="52"/>
          <w:szCs w:val="52"/>
          <w:highlight w:val="none"/>
        </w:rPr>
        <w:t xml:space="preserve">采  购  文  件</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bCs/>
          <w:color w:val="auto"/>
          <w:sz w:val="28"/>
          <w:highlight w:val="none"/>
        </w:rPr>
      </w:pPr>
      <w:r>
        <w:rPr>
          <w:rFonts w:hint="eastAsia" w:ascii="宋体" w:hAnsi="宋体" w:cs="宋体"/>
          <w:color w:val="auto"/>
          <w:sz w:val="36"/>
          <w:szCs w:val="36"/>
          <w:highlight w:val="none"/>
        </w:rPr>
        <w:t xml:space="preserve">(</w:t>
      </w:r>
      <w:r>
        <w:rPr>
          <w:rFonts w:hint="eastAsia" w:ascii="宋体" w:hAnsi="宋体" w:cs="宋体"/>
          <w:bCs/>
          <w:color w:val="auto"/>
          <w:sz w:val="36"/>
          <w:szCs w:val="36"/>
          <w:highlight w:val="none"/>
        </w:rPr>
        <w:t xml:space="preserve">全流程电子化不见面开标</w:t>
      </w:r>
      <w:r>
        <w:rPr>
          <w:rFonts w:hint="eastAsia" w:ascii="宋体" w:hAnsi="宋体" w:cs="宋体"/>
          <w:color w:val="auto"/>
          <w:sz w:val="36"/>
          <w:szCs w:val="36"/>
          <w:highlight w:val="none"/>
        </w:rPr>
        <w:t xml:space="preserve">）</w:t>
      </w:r>
      <w:r/>
    </w:p>
    <w:p>
      <w:pPr>
        <w:ind w:firstLine="1120"/>
        <w:rPr>
          <w:rFonts w:ascii="宋体" w:hAnsi="宋体" w:cs="宋体"/>
          <w:bCs/>
          <w:color w:val="auto"/>
          <w:sz w:val="28"/>
          <w:szCs w:val="28"/>
          <w:highlight w:val="none"/>
        </w:rPr>
      </w:pPr>
      <w:r>
        <w:rPr>
          <w:rFonts w:ascii="宋体" w:hAnsi="宋体" w:cs="宋体"/>
          <w:bCs/>
          <w:color w:val="auto"/>
          <w:sz w:val="28"/>
          <w:szCs w:val="28"/>
          <w:highlight w:val="none"/>
        </w:rPr>
      </w:r>
      <w:r/>
    </w:p>
    <w:p>
      <w:pPr>
        <w:ind w:firstLine="1120"/>
        <w:rPr>
          <w:rFonts w:ascii="宋体" w:hAnsi="宋体" w:cs="宋体"/>
          <w:bCs/>
          <w:color w:val="auto"/>
          <w:sz w:val="28"/>
          <w:szCs w:val="28"/>
          <w:highlight w:val="none"/>
        </w:rPr>
      </w:pPr>
      <w:r>
        <w:rPr>
          <w:rFonts w:ascii="宋体" w:hAnsi="宋体" w:cs="宋体"/>
          <w:bCs/>
          <w:color w:val="auto"/>
          <w:sz w:val="28"/>
          <w:szCs w:val="28"/>
          <w:highlight w:val="none"/>
        </w:rPr>
      </w:r>
      <w:r/>
    </w:p>
    <w:p>
      <w:pPr>
        <w:ind w:firstLine="1120"/>
        <w:rPr>
          <w:rFonts w:ascii="宋体" w:hAnsi="宋体" w:cs="宋体"/>
          <w:bCs/>
          <w:color w:val="auto"/>
          <w:sz w:val="28"/>
          <w:szCs w:val="28"/>
          <w:highlight w:val="none"/>
        </w:rPr>
      </w:pPr>
      <w:r>
        <w:rPr>
          <w:rFonts w:ascii="宋体" w:hAnsi="宋体" w:cs="宋体"/>
          <w:bCs/>
          <w:color w:val="auto"/>
          <w:sz w:val="28"/>
          <w:szCs w:val="28"/>
          <w:highlight w:val="none"/>
        </w:rPr>
      </w:r>
      <w:r/>
    </w:p>
    <w:p>
      <w:pPr>
        <w:ind w:firstLine="1120"/>
        <w:rPr>
          <w:rFonts w:ascii="宋体" w:hAnsi="宋体" w:cs="宋体"/>
          <w:bCs/>
          <w:color w:val="auto"/>
          <w:sz w:val="28"/>
          <w:szCs w:val="28"/>
          <w:highlight w:val="none"/>
        </w:rPr>
      </w:pPr>
      <w:r>
        <w:rPr>
          <w:rFonts w:ascii="宋体" w:hAnsi="宋体" w:cs="宋体"/>
          <w:bCs/>
          <w:color w:val="auto"/>
          <w:sz w:val="28"/>
          <w:szCs w:val="28"/>
          <w:highlight w:val="none"/>
        </w:rPr>
      </w:r>
      <w:r/>
    </w:p>
    <w:p>
      <w:pPr>
        <w:ind w:firstLine="1120"/>
        <w:rPr>
          <w:rFonts w:ascii="宋体" w:hAnsi="宋体" w:cs="宋体"/>
          <w:bCs/>
          <w:color w:val="auto"/>
          <w:sz w:val="28"/>
          <w:szCs w:val="28"/>
          <w:highlight w:val="none"/>
        </w:rPr>
      </w:pPr>
      <w:r>
        <w:rPr>
          <w:rFonts w:ascii="宋体" w:hAnsi="宋体" w:cs="宋体"/>
          <w:bCs/>
          <w:color w:val="auto"/>
          <w:sz w:val="28"/>
          <w:szCs w:val="28"/>
          <w:highlight w:val="none"/>
        </w:rPr>
      </w:r>
      <w:r/>
    </w:p>
    <w:p>
      <w:pPr>
        <w:ind w:firstLine="1120"/>
        <w:spacing w:line="600" w:lineRule="auto"/>
        <w:rPr>
          <w:rFonts w:hint="eastAsia"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项目编号：</w:t>
      </w:r>
      <w:r>
        <w:rPr>
          <w:rFonts w:hint="eastAsia" w:ascii="宋体" w:hAnsi="宋体" w:cs="宋体"/>
          <w:bCs/>
          <w:color w:val="auto"/>
          <w:sz w:val="28"/>
          <w:szCs w:val="28"/>
          <w:highlight w:val="none"/>
          <w:u w:val="single"/>
          <w:lang w:eastAsia="zh-CN"/>
        </w:rPr>
        <w:t xml:space="preserve">JSZC-321203-XHJS-C2025-0058</w:t>
      </w:r>
      <w:r/>
    </w:p>
    <w:p>
      <w:pPr>
        <w:ind w:firstLine="1120"/>
        <w:spacing w:line="600" w:lineRule="auto"/>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lang w:eastAsia="zh-CN"/>
        </w:rPr>
        <w:t xml:space="preserve">胡庄镇人民政府食堂管理服务项目（2025年12月-2026年11月）</w:t>
      </w:r>
      <w:r>
        <w:rPr>
          <w:rFonts w:hint="eastAsia" w:ascii="宋体" w:hAnsi="宋体" w:cs="宋体"/>
          <w:bCs/>
          <w:color w:val="auto"/>
          <w:sz w:val="28"/>
          <w:szCs w:val="28"/>
          <w:highlight w:val="none"/>
          <w:u w:val="single"/>
        </w:rPr>
        <w:t xml:space="preserve"> </w:t>
      </w:r>
      <w:r>
        <w:rPr>
          <w:rFonts w:ascii="宋体" w:hAnsi="宋体" w:cs="宋体"/>
          <w:bCs/>
          <w:color w:val="auto"/>
          <w:sz w:val="28"/>
          <w:szCs w:val="28"/>
          <w:highlight w:val="none"/>
          <w:u w:val="single"/>
        </w:rPr>
        <w:t xml:space="preserve">       </w:t>
      </w:r>
      <w:r/>
    </w:p>
    <w:p>
      <w:pPr>
        <w:ind w:firstLine="1120"/>
        <w:spacing w:line="600" w:lineRule="auto"/>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采   购   人：</w:t>
      </w:r>
      <w:r>
        <w:rPr>
          <w:rFonts w:hint="eastAsia" w:ascii="宋体" w:hAnsi="宋体" w:cs="宋体"/>
          <w:bCs/>
          <w:color w:val="auto"/>
          <w:sz w:val="28"/>
          <w:szCs w:val="28"/>
          <w:highlight w:val="none"/>
          <w:u w:val="single"/>
          <w:lang w:eastAsia="zh-CN"/>
        </w:rPr>
        <w:t xml:space="preserve">泰州市胡庄镇人民政府</w:t>
      </w:r>
      <w:r/>
    </w:p>
    <w:p>
      <w:pPr>
        <w:ind w:firstLine="1120"/>
        <w:spacing w:line="60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采购代理机构:</w:t>
      </w:r>
      <w:r>
        <w:rPr>
          <w:rFonts w:hint="eastAsia" w:ascii="宋体" w:hAnsi="宋体" w:cs="宋体"/>
          <w:bCs/>
          <w:color w:val="auto"/>
          <w:sz w:val="28"/>
          <w:szCs w:val="28"/>
          <w:highlight w:val="none"/>
          <w:u w:val="single"/>
        </w:rPr>
        <w:t xml:space="preserve">江苏信和工程建设管理房地产评估有限公司</w:t>
      </w:r>
      <w:r/>
    </w:p>
    <w:p>
      <w:pPr>
        <w:pStyle w:val="1068"/>
        <w:ind w:firstLine="720"/>
        <w:jc w:val="center"/>
        <w:spacing w:before="0" w:after="0"/>
        <w:rPr>
          <w:rFonts w:ascii="宋体" w:hAnsi="宋体" w:cs="宋体"/>
          <w:bCs/>
          <w:color w:val="auto"/>
          <w:sz w:val="36"/>
          <w:szCs w:val="36"/>
          <w:highlight w:val="none"/>
        </w:rPr>
      </w:pPr>
      <w:r>
        <w:rPr>
          <w:rFonts w:ascii="宋体" w:hAnsi="宋体" w:cs="宋体"/>
          <w:bCs/>
          <w:color w:val="auto"/>
          <w:sz w:val="36"/>
          <w:szCs w:val="36"/>
          <w:highlight w:val="none"/>
        </w:rPr>
      </w:r>
      <w:r/>
    </w:p>
    <w:p>
      <w:pPr>
        <w:pStyle w:val="1068"/>
        <w:ind w:firstLine="720"/>
        <w:jc w:val="center"/>
        <w:spacing w:before="0" w:after="0"/>
        <w:rPr>
          <w:rFonts w:ascii="宋体" w:hAnsi="宋体" w:cs="宋体"/>
          <w:bCs/>
          <w:color w:val="auto"/>
          <w:sz w:val="36"/>
          <w:szCs w:val="36"/>
          <w:highlight w:val="none"/>
        </w:rPr>
      </w:pPr>
      <w:r>
        <w:rPr>
          <w:rFonts w:ascii="宋体" w:hAnsi="宋体" w:cs="宋体"/>
          <w:bCs/>
          <w:color w:val="auto"/>
          <w:sz w:val="36"/>
          <w:szCs w:val="36"/>
          <w:highlight w:val="none"/>
        </w:rPr>
      </w:r>
      <w:r/>
    </w:p>
    <w:p>
      <w:pPr>
        <w:pStyle w:val="1068"/>
        <w:ind w:firstLine="3333"/>
        <w:spacing w:before="0" w:after="0"/>
        <w:rPr>
          <w:rFonts w:ascii="宋体" w:hAnsi="宋体" w:cs="宋体"/>
          <w:bCs/>
          <w:color w:val="auto"/>
          <w:sz w:val="36"/>
          <w:szCs w:val="36"/>
          <w:highlight w:val="none"/>
        </w:rPr>
      </w:pPr>
      <w:r>
        <w:rPr>
          <w:rFonts w:hint="eastAsia" w:ascii="宋体" w:hAnsi="宋体" w:cs="宋体"/>
          <w:bCs/>
          <w:color w:val="auto"/>
          <w:sz w:val="36"/>
          <w:szCs w:val="36"/>
          <w:highlight w:val="none"/>
        </w:rPr>
        <w:t xml:space="preserve">202</w:t>
      </w:r>
      <w:r>
        <w:rPr>
          <w:rFonts w:hint="eastAsia" w:ascii="宋体" w:hAnsi="宋体" w:cs="宋体"/>
          <w:bCs/>
          <w:color w:val="auto"/>
          <w:sz w:val="36"/>
          <w:szCs w:val="36"/>
          <w:highlight w:val="none"/>
          <w:lang w:val="en-US" w:eastAsia="zh-CN"/>
        </w:rPr>
        <w:t xml:space="preserve">5</w:t>
      </w:r>
      <w:r>
        <w:rPr>
          <w:rFonts w:hint="eastAsia" w:ascii="宋体" w:hAnsi="宋体" w:cs="宋体"/>
          <w:bCs/>
          <w:color w:val="auto"/>
          <w:sz w:val="36"/>
          <w:szCs w:val="36"/>
          <w:highlight w:val="none"/>
        </w:rPr>
        <w:t xml:space="preserve">年</w:t>
      </w:r>
      <w:r>
        <w:rPr>
          <w:rFonts w:hint="eastAsia" w:ascii="宋体" w:hAnsi="宋体" w:cs="宋体"/>
          <w:bCs/>
          <w:color w:val="auto"/>
          <w:sz w:val="36"/>
          <w:szCs w:val="36"/>
          <w:highlight w:val="none"/>
          <w:lang w:val="en-US" w:eastAsia="zh-CN"/>
        </w:rPr>
        <w:t xml:space="preserve">12</w:t>
      </w:r>
      <w:r>
        <w:rPr>
          <w:rFonts w:hint="eastAsia" w:ascii="宋体" w:hAnsi="宋体" w:cs="宋体"/>
          <w:bCs/>
          <w:color w:val="auto"/>
          <w:sz w:val="36"/>
          <w:szCs w:val="36"/>
          <w:highlight w:val="none"/>
        </w:rPr>
        <w:t xml:space="preserve">月</w:t>
      </w:r>
      <w:r/>
    </w:p>
    <w:p>
      <w:pPr>
        <w:pStyle w:val="1069"/>
        <w:spacing w:before="0" w:line="360" w:lineRule="auto"/>
        <w:rPr>
          <w:rFonts w:ascii="宋体" w:hAnsi="宋体" w:eastAsia="宋体" w:cs="宋体"/>
          <w:color w:val="auto"/>
          <w:sz w:val="52"/>
          <w:szCs w:val="52"/>
          <w:highlight w:val="none"/>
        </w:rPr>
      </w:pPr>
      <w:r>
        <w:rPr>
          <w:rFonts w:ascii="宋体" w:hAnsi="宋体" w:eastAsia="宋体" w:cs="宋体"/>
          <w:color w:val="auto"/>
          <w:sz w:val="52"/>
          <w:szCs w:val="36"/>
          <w:highlight w:val="none"/>
        </w:rPr>
      </w:r>
      <w:r>
        <w:rPr>
          <w:rFonts w:ascii="宋体" w:hAnsi="宋体" w:eastAsia="宋体" w:cs="宋体"/>
          <w:color w:val="auto"/>
          <w:sz w:val="52"/>
          <w:szCs w:val="36"/>
          <w:highlight w:val="none"/>
        </w:rPr>
      </w:r>
      <w:r/>
    </w:p>
    <w:p>
      <w:pPr>
        <w:pStyle w:val="1069"/>
        <w:spacing w:before="0" w:line="360" w:lineRule="auto"/>
        <w:rPr>
          <w:rFonts w:ascii="宋体" w:hAnsi="宋体" w:eastAsia="宋体" w:cs="宋体"/>
          <w:color w:val="auto"/>
          <w:sz w:val="52"/>
          <w:szCs w:val="52"/>
          <w:highlight w:val="none"/>
        </w:rPr>
      </w:pPr>
      <w:r>
        <w:rPr>
          <w:rFonts w:ascii="宋体" w:hAnsi="宋体" w:eastAsia="宋体" w:cs="宋体"/>
          <w:color w:val="auto"/>
          <w:sz w:val="52"/>
          <w:szCs w:val="52"/>
          <w:highlight w:val="none"/>
        </w:rPr>
      </w:r>
      <w:r>
        <w:rPr>
          <w:rFonts w:ascii="宋体" w:hAnsi="宋体" w:eastAsia="宋体" w:cs="宋体"/>
          <w:color w:val="auto"/>
          <w:sz w:val="52"/>
          <w:szCs w:val="52"/>
          <w:highlight w:val="none"/>
        </w:rPr>
      </w:r>
      <w:r/>
    </w:p>
    <w:p>
      <w:pPr>
        <w:pStyle w:val="1069"/>
        <w:spacing w:before="0" w:line="360" w:lineRule="auto"/>
        <w:rPr>
          <w:rFonts w:ascii="宋体" w:hAnsi="宋体" w:eastAsia="宋体" w:cs="宋体"/>
          <w:color w:val="auto"/>
          <w:sz w:val="52"/>
          <w:szCs w:val="52"/>
          <w:highlight w:val="none"/>
        </w:rPr>
      </w:pPr>
      <w:r>
        <w:rPr>
          <w:rFonts w:ascii="宋体" w:hAnsi="宋体" w:eastAsia="宋体" w:cs="宋体"/>
          <w:color w:val="auto"/>
          <w:sz w:val="52"/>
          <w:szCs w:val="36"/>
          <w:highlight w:val="none"/>
        </w:rPr>
      </w:r>
      <w:r/>
    </w:p>
    <w:p>
      <w:pPr>
        <w:rPr>
          <w:color w:val="auto"/>
          <w:highlight w:val="none"/>
        </w:rPr>
      </w:pPr>
      <w:r>
        <w:rPr>
          <w:color w:val="auto"/>
          <w:highlight w:val="none"/>
        </w:rPr>
      </w:r>
      <w:r/>
    </w:p>
    <w:p>
      <w:pPr>
        <w:pStyle w:val="1069"/>
        <w:ind w:firstLine="3640"/>
        <w:spacing w:before="0" w:line="360" w:lineRule="auto"/>
        <w:rPr>
          <w:rFonts w:ascii="宋体" w:hAnsi="宋体" w:eastAsia="宋体" w:cs="宋体"/>
          <w:color w:val="auto"/>
          <w:sz w:val="52"/>
          <w:szCs w:val="36"/>
          <w:highlight w:val="none"/>
        </w:rPr>
      </w:pPr>
      <w:r>
        <w:rPr>
          <w:rFonts w:hint="eastAsia" w:ascii="宋体" w:hAnsi="宋体" w:eastAsia="宋体" w:cs="宋体"/>
          <w:color w:val="auto"/>
          <w:sz w:val="52"/>
          <w:szCs w:val="36"/>
          <w:highlight w:val="none"/>
        </w:rPr>
        <w:t xml:space="preserve">目   录</w:t>
      </w:r>
      <w:r/>
    </w:p>
    <w:p>
      <w:pPr>
        <w:ind w:firstLine="480"/>
        <w:spacing w:line="360" w:lineRule="auto"/>
        <w:rPr>
          <w:rFonts w:ascii="宋体" w:hAnsi="宋体" w:cs="宋体"/>
          <w:color w:val="auto"/>
          <w:sz w:val="24"/>
          <w:szCs w:val="32"/>
          <w:highlight w:val="none"/>
          <w:lang w:val="zh-CN"/>
        </w:rPr>
      </w:pPr>
      <w:r>
        <w:rPr>
          <w:rFonts w:ascii="宋体" w:hAnsi="宋体" w:cs="宋体"/>
          <w:color w:val="auto"/>
          <w:sz w:val="24"/>
          <w:szCs w:val="32"/>
          <w:highlight w:val="none"/>
          <w:lang w:val="zh-CN"/>
        </w:rPr>
      </w:r>
      <w:r/>
    </w:p>
    <w:p>
      <w:pPr>
        <w:numPr>
          <w:ilvl w:val="0"/>
          <w:numId w:val="1"/>
        </w:numPr>
        <w:ind w:firstLine="640"/>
        <w:spacing w:line="600" w:lineRule="auto"/>
        <w:rPr>
          <w:rFonts w:ascii="宋体" w:hAnsi="宋体" w:cs="宋体"/>
          <w:bCs/>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Cs/>
          <w:color w:val="auto"/>
          <w:sz w:val="32"/>
          <w:szCs w:val="32"/>
          <w:highlight w:val="none"/>
        </w:rPr>
        <w:t xml:space="preserve">竞争性磋商采购公告</w:t>
      </w:r>
      <w:r/>
    </w:p>
    <w:p>
      <w:pPr>
        <w:ind w:firstLine="640"/>
        <w:spacing w:line="60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第二章  参加磋商供应商须知</w:t>
      </w:r>
      <w:r/>
    </w:p>
    <w:p>
      <w:pPr>
        <w:ind w:firstLine="640"/>
        <w:spacing w:line="60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第三章  项目需求</w:t>
      </w:r>
      <w:r/>
    </w:p>
    <w:p>
      <w:pPr>
        <w:ind w:firstLine="640"/>
        <w:spacing w:line="60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第四章  评审方法和评审标准</w:t>
      </w:r>
      <w:r/>
    </w:p>
    <w:p>
      <w:pPr>
        <w:ind w:firstLine="640"/>
        <w:spacing w:line="600"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第五章  合同条款及格式</w:t>
      </w:r>
      <w:r/>
    </w:p>
    <w:p>
      <w:pPr>
        <w:ind w:firstLine="640"/>
        <w:spacing w:line="600" w:lineRule="auto"/>
        <w:rPr>
          <w:rFonts w:ascii="宋体" w:hAnsi="宋体" w:cs="宋体"/>
          <w:b/>
          <w:color w:val="auto"/>
          <w:sz w:val="40"/>
          <w:szCs w:val="40"/>
          <w:highlight w:val="none"/>
        </w:rPr>
      </w:pPr>
      <w:r>
        <w:rPr>
          <w:rFonts w:hint="eastAsia" w:ascii="宋体" w:hAnsi="宋体" w:cs="宋体"/>
          <w:bCs/>
          <w:color w:val="auto"/>
          <w:sz w:val="32"/>
          <w:szCs w:val="32"/>
          <w:highlight w:val="none"/>
        </w:rPr>
        <w:t xml:space="preserve">第六章  响应文件的组成和格式</w:t>
      </w:r>
      <w:r/>
    </w:p>
    <w:p>
      <w:pPr>
        <w:rPr>
          <w:color w:val="auto"/>
          <w:highlight w:val="none"/>
        </w:rPr>
      </w:pPr>
      <w:r>
        <w:rPr>
          <w:color w:val="auto"/>
          <w:highlight w:val="none"/>
        </w:rPr>
      </w:r>
      <w:r/>
    </w:p>
    <w:p>
      <w:pPr>
        <w:pStyle w:val="1031"/>
        <w:contextualSpacing/>
        <w:ind w:firstLine="2891"/>
        <w:spacing w:line="360" w:lineRule="auto"/>
        <w:rPr>
          <w:rFonts w:ascii="宋体" w:hAnsi="宋体" w:eastAsia="宋体" w:cs="宋体"/>
          <w:b/>
          <w:color w:val="auto"/>
          <w:sz w:val="32"/>
          <w:szCs w:val="32"/>
          <w:highlight w:val="none"/>
        </w:rPr>
        <w:sectPr>
          <w:footnotePr/>
          <w:endnotePr/>
          <w:type w:val="nextPage"/>
          <w:pgSz w:w="11906" w:h="16838" w:orient="portrait"/>
          <w:pgMar w:top="1247" w:right="567" w:bottom="964" w:left="907" w:header="851" w:footer="992" w:gutter="0"/>
          <w:cols w:num="1" w:sep="0" w:space="720" w:equalWidth="1"/>
          <w:docGrid w:linePitch="360"/>
        </w:sectPr>
      </w:pPr>
      <w:r>
        <w:rPr>
          <w:rFonts w:ascii="宋体" w:hAnsi="宋体" w:eastAsia="宋体" w:cs="宋体"/>
          <w:b/>
          <w:color w:val="auto"/>
          <w:sz w:val="32"/>
          <w:szCs w:val="32"/>
          <w:highlight w:val="none"/>
        </w:rPr>
      </w:r>
      <w:r/>
    </w:p>
    <w:p>
      <w:pPr>
        <w:pStyle w:val="1031"/>
        <w:contextualSpacing/>
        <w:ind w:firstLine="2570"/>
        <w:spacing w:line="360" w:lineRule="auto"/>
        <w:rPr>
          <w:rFonts w:ascii="宋体" w:hAnsi="宋体" w:eastAsia="宋体" w:cs="宋体"/>
          <w:b/>
          <w:color w:val="auto"/>
          <w:sz w:val="40"/>
          <w:szCs w:val="40"/>
          <w:highlight w:val="none"/>
        </w:rPr>
      </w:pPr>
      <w:r>
        <w:rPr>
          <w:rFonts w:hint="eastAsia" w:ascii="宋体" w:hAnsi="宋体" w:eastAsia="宋体" w:cs="宋体"/>
          <w:b/>
          <w:color w:val="auto"/>
          <w:sz w:val="32"/>
          <w:szCs w:val="32"/>
          <w:highlight w:val="none"/>
        </w:rPr>
        <w:t xml:space="preserve">第一章  </w:t>
      </w:r>
      <w:bookmarkEnd w:id="0"/>
      <w:r/>
      <w:bookmarkEnd w:id="1"/>
      <w:r>
        <w:rPr>
          <w:rFonts w:hint="eastAsia" w:ascii="宋体" w:hAnsi="宋体" w:eastAsia="宋体" w:cs="宋体"/>
          <w:b/>
          <w:color w:val="auto"/>
          <w:sz w:val="32"/>
          <w:szCs w:val="32"/>
          <w:highlight w:val="none"/>
        </w:rPr>
        <w:t xml:space="preserve">竞争性磋商采购公告</w:t>
      </w:r>
      <w:r/>
    </w:p>
    <w:p>
      <w:pPr>
        <w:spacing w:line="360" w:lineRule="auto"/>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bookmarkStart w:id="2" w:name="_Toc28359089"/>
      <w:r/>
      <w:bookmarkStart w:id="3" w:name="_Toc28359012"/>
      <w:r/>
      <w:bookmarkStart w:id="4" w:name="_Toc35393798"/>
      <w:r/>
      <w:bookmarkStart w:id="5" w:name="_Toc35393629"/>
      <w:r/>
      <w:bookmarkStart w:id="6" w:name="_Toc34087973"/>
      <w:r/>
      <w:bookmarkStart w:id="7" w:name="_Toc14577347"/>
      <w:r/>
      <w:bookmarkStart w:id="8" w:name="_Toc61149549"/>
      <w:r/>
      <w:bookmarkStart w:id="9" w:name="_Toc513029209"/>
      <w:r>
        <w:rPr>
          <w:rFonts w:hint="eastAsia" w:ascii="宋体" w:hAnsi="宋体" w:cs="宋体"/>
          <w:color w:val="auto"/>
          <w:sz w:val="28"/>
          <w:szCs w:val="28"/>
          <w:highlight w:val="none"/>
        </w:rPr>
        <w:t xml:space="preserve">项目概况</w:t>
      </w:r>
      <w:r/>
    </w:p>
    <w:p>
      <w:pPr>
        <w:ind w:firstLine="480"/>
        <w:spacing w:line="360" w:lineRule="auto"/>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lang w:eastAsia="zh-CN"/>
        </w:rPr>
        <w:t xml:space="preserve">胡庄镇人民政府食堂管理服务项目（</w:t>
      </w:r>
      <w:r>
        <w:rPr>
          <w:rFonts w:hint="eastAsia" w:ascii="宋体" w:hAnsi="宋体" w:eastAsia="宋体" w:cs="宋体"/>
          <w:color w:val="auto"/>
          <w:sz w:val="24"/>
          <w:szCs w:val="24"/>
          <w:highlight w:val="none"/>
          <w:lang w:eastAsia="zh-CN"/>
        </w:rPr>
        <w:t xml:space="preserve">2025年12月-2026年11月</w:t>
      </w:r>
      <w:r>
        <w:rPr>
          <w:rFonts w:hint="eastAsia" w:ascii="宋体" w:hAnsi="宋体" w:cs="宋体"/>
          <w:color w:val="auto"/>
          <w:sz w:val="24"/>
          <w:highlight w:val="none"/>
          <w:lang w:eastAsia="zh-CN"/>
        </w:rPr>
        <w:t xml:space="preserve">）JSZC-321203-XHJS-C2025-0058</w:t>
      </w:r>
      <w:r>
        <w:rPr>
          <w:rFonts w:hint="eastAsia" w:ascii="宋体" w:hAnsi="宋体" w:cs="宋体"/>
          <w:color w:val="auto"/>
          <w:sz w:val="24"/>
          <w:highlight w:val="none"/>
        </w:rPr>
        <w:t xml:space="preserve">采购项目的潜在供应商应在“苏采云”系统</w:t>
      </w:r>
      <w:r>
        <w:rPr>
          <w:rFonts w:hint="eastAsia" w:ascii="宋体" w:hAnsi="宋体" w:cs="宋体"/>
          <w:color w:val="auto"/>
          <w:sz w:val="24"/>
          <w:highlight w:val="none"/>
          <w:lang w:val="en-US" w:eastAsia="zh-CN"/>
        </w:rPr>
        <w:t xml:space="preserve">获取</w:t>
      </w:r>
      <w:r>
        <w:rPr>
          <w:rFonts w:hint="eastAsia" w:ascii="宋体" w:hAnsi="宋体" w:cs="宋体"/>
          <w:color w:val="auto"/>
          <w:sz w:val="24"/>
          <w:highlight w:val="none"/>
        </w:rPr>
        <w:t xml:space="preserve">采购文件，并于202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 09:</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0（北京时间）前提交响应文件。</w:t>
      </w:r>
      <w:r/>
    </w:p>
    <w:p>
      <w:pPr>
        <w:numPr>
          <w:ilvl w:val="0"/>
          <w:numId w:val="2"/>
        </w:numPr>
        <w:ind w:firstLine="42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项目基本情况</w:t>
      </w:r>
      <w:r/>
    </w:p>
    <w:p>
      <w:pPr>
        <w:numPr>
          <w:ilvl w:val="0"/>
          <w:numId w:val="0"/>
        </w:num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szCs w:val="32"/>
          <w:highlight w:val="none"/>
        </w:rPr>
        <w:t xml:space="preserve">项目编号：</w:t>
      </w:r>
      <w:r>
        <w:rPr>
          <w:rFonts w:hint="eastAsia" w:ascii="宋体" w:hAnsi="宋体" w:cs="宋体"/>
          <w:color w:val="auto"/>
          <w:sz w:val="24"/>
          <w:highlight w:val="none"/>
          <w:lang w:eastAsia="zh-CN"/>
        </w:rPr>
        <w:t xml:space="preserve">JSZC-321203-XHJS-C2025-0058</w:t>
      </w:r>
      <w:r/>
    </w:p>
    <w:p>
      <w:pPr>
        <w:ind w:firstLine="42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szCs w:val="32"/>
          <w:highlight w:val="none"/>
        </w:rPr>
        <w:t xml:space="preserve">项目名称：</w:t>
      </w:r>
      <w:r>
        <w:rPr>
          <w:rFonts w:hint="eastAsia" w:ascii="宋体" w:hAnsi="宋体" w:cs="宋体"/>
          <w:color w:val="auto"/>
          <w:sz w:val="24"/>
          <w:highlight w:val="none"/>
          <w:lang w:eastAsia="zh-CN"/>
        </w:rPr>
        <w:t xml:space="preserve">胡庄镇人民政府食堂管理服务项目（</w:t>
      </w:r>
      <w:r>
        <w:rPr>
          <w:rFonts w:hint="eastAsia" w:ascii="宋体" w:hAnsi="宋体" w:eastAsia="宋体" w:cs="宋体"/>
          <w:color w:val="auto"/>
          <w:sz w:val="24"/>
          <w:szCs w:val="24"/>
          <w:highlight w:val="none"/>
          <w:lang w:eastAsia="zh-CN"/>
        </w:rPr>
        <w:t xml:space="preserve">2025年12月-2026年11月</w:t>
      </w:r>
      <w:r>
        <w:rPr>
          <w:rFonts w:hint="eastAsia" w:ascii="宋体" w:hAnsi="宋体" w:cs="宋体"/>
          <w:color w:val="auto"/>
          <w:sz w:val="24"/>
          <w:highlight w:val="none"/>
          <w:lang w:eastAsia="zh-CN"/>
        </w:rPr>
        <w:t xml:space="preserve">）</w:t>
      </w:r>
      <w:r/>
    </w:p>
    <w:p>
      <w:pPr>
        <w:ind w:firstLine="420"/>
        <w:jc w:val="left"/>
        <w:spacing w:line="360" w:lineRule="auto"/>
        <w:widowControl/>
        <w:rPr>
          <w:rFonts w:ascii="宋体" w:hAnsi="宋体" w:cs="宋体"/>
          <w:color w:val="auto"/>
          <w:sz w:val="24"/>
          <w:szCs w:val="32"/>
          <w:highlight w:val="none"/>
        </w:rPr>
      </w:pPr>
      <w:r>
        <w:rPr>
          <w:rFonts w:hint="eastAsia" w:ascii="宋体" w:hAnsi="宋体" w:cs="宋体"/>
          <w:color w:val="auto"/>
          <w:sz w:val="24"/>
          <w:szCs w:val="32"/>
          <w:highlight w:val="none"/>
        </w:rPr>
        <w:t xml:space="preserve">采购方式：竞争性磋商</w:t>
      </w:r>
      <w:r/>
    </w:p>
    <w:p>
      <w:pPr>
        <w:ind w:firstLine="420"/>
        <w:jc w:val="left"/>
        <w:spacing w:line="360" w:lineRule="auto"/>
        <w:widowControl/>
        <w:rPr>
          <w:rFonts w:ascii="宋体" w:hAnsi="宋体" w:cs="宋体"/>
          <w:color w:val="auto"/>
          <w:sz w:val="24"/>
          <w:szCs w:val="32"/>
          <w:highlight w:val="none"/>
        </w:rPr>
      </w:pPr>
      <w:r>
        <w:rPr>
          <w:rFonts w:hint="eastAsia" w:ascii="宋体" w:hAnsi="宋体" w:cs="宋体"/>
          <w:color w:val="auto"/>
          <w:sz w:val="24"/>
          <w:szCs w:val="32"/>
          <w:highlight w:val="none"/>
        </w:rPr>
        <w:t xml:space="preserve">预算金额：</w:t>
      </w:r>
      <w:r>
        <w:rPr>
          <w:rFonts w:hint="eastAsia" w:ascii="宋体" w:hAnsi="宋体" w:cs="宋体"/>
          <w:color w:val="auto"/>
          <w:sz w:val="24"/>
          <w:szCs w:val="24"/>
          <w:highlight w:val="none"/>
          <w:lang w:val="en-US" w:eastAsia="zh-CN"/>
        </w:rPr>
        <w:t xml:space="preserve">7</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万元人民币</w:t>
      </w:r>
      <w:r/>
    </w:p>
    <w:p>
      <w:pPr>
        <w:ind w:firstLine="420"/>
        <w:jc w:val="left"/>
        <w:spacing w:line="360" w:lineRule="auto"/>
        <w:widowControl/>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最高限价</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如有</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w:t>
      </w:r>
      <w:r>
        <w:rPr>
          <w:rFonts w:hint="eastAsia" w:ascii="宋体" w:hAnsi="宋体" w:cs="宋体"/>
          <w:color w:val="auto"/>
          <w:sz w:val="24"/>
          <w:szCs w:val="24"/>
          <w:highlight w:val="none"/>
          <w:lang w:val="en-US" w:eastAsia="zh-CN"/>
        </w:rPr>
        <w:t xml:space="preserve">7</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万元人民币</w:t>
      </w:r>
      <w:r>
        <w:rPr>
          <w:rFonts w:hint="eastAsia" w:ascii="宋体" w:hAnsi="宋体" w:cs="宋体"/>
          <w:color w:val="auto"/>
          <w:sz w:val="24"/>
          <w:szCs w:val="32"/>
          <w:highlight w:val="none"/>
        </w:rPr>
        <w:t xml:space="preserve">（响应报价不得超过采购项目最高限价金额，否则按无效响应处理）</w:t>
      </w:r>
      <w:r/>
    </w:p>
    <w:p>
      <w:pPr>
        <w:ind w:firstLine="480"/>
        <w:spacing w:line="360" w:lineRule="auto"/>
        <w:rPr>
          <w:rFonts w:hint="eastAsia" w:ascii="宋体" w:hAnsi="宋体" w:eastAsia="宋体" w:cs="宋体"/>
          <w:color w:val="auto"/>
          <w:sz w:val="24"/>
          <w:szCs w:val="32"/>
          <w:highlight w:val="none"/>
          <w:lang w:eastAsia="zh-CN"/>
        </w:rPr>
      </w:pPr>
      <w:r>
        <w:rPr>
          <w:rFonts w:hint="eastAsia" w:ascii="宋体" w:hAnsi="宋体" w:cs="宋体"/>
          <w:color w:val="auto"/>
          <w:sz w:val="24"/>
          <w:szCs w:val="32"/>
          <w:highlight w:val="none"/>
        </w:rPr>
        <w:t xml:space="preserve">采购需求：服务商提供食堂餐饮服务(包括食堂人事、菜肴采购与制作、就餐环境卫生服务等)</w:t>
      </w:r>
      <w:r>
        <w:rPr>
          <w:rFonts w:hint="eastAsia" w:ascii="宋体" w:hAnsi="宋体" w:cs="宋体"/>
          <w:color w:val="auto"/>
          <w:sz w:val="24"/>
          <w:szCs w:val="32"/>
          <w:highlight w:val="none"/>
          <w:lang w:eastAsia="zh-CN"/>
        </w:rPr>
        <w:t xml:space="preserve">，</w:t>
      </w:r>
      <w:r>
        <w:rPr>
          <w:rFonts w:hint="eastAsia" w:ascii="宋体" w:hAnsi="宋体" w:cs="宋体"/>
          <w:color w:val="auto"/>
          <w:sz w:val="24"/>
          <w:highlight w:val="none"/>
        </w:rPr>
        <w:t xml:space="preserve">具体内容见磋商文件第三章项目需求</w:t>
      </w:r>
      <w:r>
        <w:rPr>
          <w:rFonts w:hint="eastAsia" w:ascii="宋体" w:hAnsi="宋体" w:cs="宋体"/>
          <w:color w:val="auto"/>
          <w:sz w:val="24"/>
          <w:highlight w:val="none"/>
          <w:lang w:eastAsia="zh-CN"/>
        </w:rPr>
        <w:t xml:space="preserve">。</w:t>
      </w:r>
      <w:r/>
    </w:p>
    <w:p>
      <w:pPr>
        <w:ind w:firstLine="42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32"/>
          <w:highlight w:val="none"/>
        </w:rPr>
        <w:t xml:space="preserve">合同履行期限：</w:t>
      </w:r>
      <w:r>
        <w:rPr>
          <w:rFonts w:hint="eastAsia" w:ascii="宋体" w:hAnsi="宋体" w:eastAsia="宋体" w:cs="宋体"/>
          <w:color w:val="auto"/>
          <w:sz w:val="24"/>
          <w:szCs w:val="24"/>
          <w:highlight w:val="none"/>
          <w:lang w:eastAsia="zh-CN"/>
        </w:rPr>
        <w:t xml:space="preserve">2025年12月-2026年11月</w:t>
      </w:r>
      <w:r/>
    </w:p>
    <w:p>
      <w:pPr>
        <w:ind w:left="420"/>
        <w:jc w:val="left"/>
        <w:spacing w:line="360" w:lineRule="auto"/>
        <w:widowControl/>
        <w:rPr>
          <w:rFonts w:ascii="宋体" w:hAnsi="宋体" w:cs="宋体"/>
          <w:color w:val="auto"/>
          <w:sz w:val="24"/>
          <w:szCs w:val="32"/>
          <w:highlight w:val="none"/>
        </w:rPr>
      </w:pPr>
      <w:r>
        <w:rPr>
          <w:rFonts w:hint="eastAsia" w:ascii="宋体" w:hAnsi="宋体" w:cs="宋体"/>
          <w:color w:val="auto"/>
          <w:sz w:val="24"/>
          <w:szCs w:val="32"/>
          <w:highlight w:val="none"/>
        </w:rPr>
        <w:t xml:space="preserve">本项目（是/否）接受联合体:否</w:t>
      </w:r>
      <w:bookmarkEnd w:id="2"/>
      <w:r/>
      <w:bookmarkEnd w:id="3"/>
      <w:r/>
      <w:bookmarkEnd w:id="4"/>
      <w:r/>
      <w:bookmarkEnd w:id="5"/>
      <w:r/>
      <w:r/>
    </w:p>
    <w:p>
      <w:pPr>
        <w:ind w:left="420"/>
        <w:jc w:val="left"/>
        <w:spacing w:line="360" w:lineRule="auto"/>
        <w:widowControl/>
        <w:rPr>
          <w:rFonts w:ascii="宋体" w:hAnsi="宋体" w:cs="宋体"/>
          <w:b/>
          <w:bCs/>
          <w:color w:val="auto"/>
          <w:sz w:val="32"/>
          <w:szCs w:val="32"/>
          <w:highlight w:val="none"/>
        </w:rPr>
      </w:pPr>
      <w:r/>
      <w:bookmarkStart w:id="10" w:name="_Toc28359090"/>
      <w:r/>
      <w:bookmarkStart w:id="11" w:name="_Toc35393630"/>
      <w:r/>
      <w:bookmarkStart w:id="12" w:name="_Toc35393799"/>
      <w:r/>
      <w:bookmarkStart w:id="13" w:name="_Toc28359013"/>
      <w:r>
        <w:rPr>
          <w:rFonts w:hint="eastAsia" w:ascii="宋体" w:hAnsi="宋体" w:cs="宋体"/>
          <w:b/>
          <w:bCs/>
          <w:color w:val="auto"/>
          <w:sz w:val="24"/>
          <w:highlight w:val="none"/>
        </w:rPr>
        <w:t xml:space="preserve">二、申请人的资格要求</w:t>
      </w:r>
      <w:r>
        <w:rPr>
          <w:rFonts w:hint="eastAsia" w:ascii="宋体" w:hAnsi="宋体" w:cs="宋体"/>
          <w:b/>
          <w:bCs/>
          <w:color w:val="auto"/>
          <w:sz w:val="32"/>
          <w:szCs w:val="32"/>
          <w:highlight w:val="none"/>
        </w:rPr>
        <w:t xml:space="preserve">：</w:t>
      </w:r>
      <w:bookmarkEnd w:id="10"/>
      <w:r/>
      <w:bookmarkEnd w:id="11"/>
      <w:r/>
      <w:bookmarkEnd w:id="12"/>
      <w:r/>
      <w:bookmarkEnd w:id="13"/>
      <w:r/>
      <w:r/>
    </w:p>
    <w:p>
      <w:pPr>
        <w:ind w:left="42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（一）满足《中华人民共和国政府采购法》第二十二条规定</w:t>
      </w:r>
      <w:r>
        <w:rPr>
          <w:rFonts w:hint="eastAsia" w:ascii="宋体" w:hAnsi="宋体" w:cs="宋体"/>
          <w:color w:val="auto"/>
          <w:sz w:val="24"/>
          <w:highlight w:val="none"/>
          <w:lang w:eastAsia="zh-CN"/>
        </w:rPr>
        <w:t xml:space="preserve">：</w:t>
      </w:r>
      <w:r/>
    </w:p>
    <w:p>
      <w:pPr>
        <w:pStyle w:val="892"/>
        <w:ind w:left="420" w:firstLine="240"/>
        <w:spacing w:line="360" w:lineRule="auto"/>
        <w:rPr>
          <w:rFonts w:ascii="宋体" w:hAnsi="宋体" w:cs="宋体"/>
          <w:color w:val="auto"/>
          <w:sz w:val="24"/>
          <w:highlight w:val="none"/>
        </w:rPr>
      </w:pPr>
      <w:r/>
      <w:bookmarkStart w:id="14" w:name="_Hlk71214734"/>
      <w:r>
        <w:rPr>
          <w:rFonts w:hint="eastAsia" w:ascii="宋体" w:hAnsi="宋体" w:cs="宋体"/>
          <w:color w:val="auto"/>
          <w:sz w:val="24"/>
          <w:highlight w:val="none"/>
        </w:rPr>
        <w:t xml:space="preserve">1.具有独立承担民事责任的能力； </w:t>
      </w:r>
      <w:r/>
    </w:p>
    <w:p>
      <w:pPr>
        <w:pStyle w:val="892"/>
        <w:ind w:left="420"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pStyle w:val="892"/>
        <w:ind w:left="420"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pStyle w:val="892"/>
        <w:ind w:left="420"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pStyle w:val="892"/>
        <w:ind w:left="420" w:firstLine="24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参加政府采购活动前三年内，在经营活动中没有重大违法记录；</w:t>
      </w:r>
      <w:r/>
    </w:p>
    <w:p>
      <w:pPr>
        <w:ind w:firstLine="480"/>
        <w:jc w:val="left"/>
        <w:spacing w:line="360" w:lineRule="auto"/>
        <w:widowControl/>
        <w:rPr>
          <w:rFonts w:hint="eastAsia" w:ascii="宋体" w:hAnsi="宋体" w:eastAsia="宋体" w:cs="宋体"/>
          <w:color w:val="auto"/>
          <w:sz w:val="24"/>
          <w:szCs w:val="32"/>
          <w:highlight w:val="none"/>
          <w:lang w:eastAsia="zh-CN"/>
        </w:rPr>
      </w:pPr>
      <w:r>
        <w:rPr>
          <w:rFonts w:hint="eastAsia" w:ascii="宋体" w:hAnsi="宋体" w:cs="宋体"/>
          <w:color w:val="auto"/>
          <w:sz w:val="24"/>
          <w:highlight w:val="none"/>
        </w:rPr>
        <w:t xml:space="preserve">（二）落实政府采购政策需满足的资格要求：</w:t>
      </w:r>
      <w:bookmarkEnd w:id="14"/>
      <w:r>
        <w:rPr>
          <w:rFonts w:hint="eastAsia" w:ascii="宋体" w:hAnsi="宋体"/>
          <w:color w:val="auto"/>
          <w:sz w:val="24"/>
          <w:szCs w:val="32"/>
          <w:highlight w:val="none"/>
          <w:lang w:eastAsia="zh-CN"/>
        </w:rPr>
        <w:t xml:space="preserve">本项目专门面向中小企业,供应商应为中小微企业、监狱企业、残疾人福利性单位。</w:t>
      </w:r>
      <w:r/>
    </w:p>
    <w:p>
      <w:pPr>
        <w:numPr>
          <w:ilvl w:val="0"/>
          <w:numId w:val="3"/>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p>
      <w:pPr>
        <w:numPr>
          <w:ilvl w:val="0"/>
          <w:numId w:val="0"/>
        </w:numPr>
        <w:ind w:firstLine="480"/>
        <w:spacing w:line="360" w:lineRule="auto"/>
        <w:rPr>
          <w:rFonts w:hint="eastAsia" w:eastAsia="宋体" w:cs="Times New Roman"/>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color w:val="auto"/>
          <w:sz w:val="24"/>
          <w:szCs w:val="24"/>
          <w:highlight w:val="none"/>
        </w:rPr>
        <w:t xml:space="preserve">供应商须具备有效的食品经营许可证。</w:t>
      </w:r>
      <w:r/>
    </w:p>
    <w:p>
      <w:pPr>
        <w:ind w:firstLine="480"/>
        <w:spacing w:line="360" w:lineRule="auto"/>
        <w:rPr>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color w:val="auto"/>
          <w:sz w:val="24"/>
          <w:szCs w:val="24"/>
          <w:highlight w:val="none"/>
        </w:rPr>
        <w:t xml:space="preserve">供应商未被“信用中国”网站（www.creditchina.gov.cn）列入失信被执行人名单、政府采购严重违法失信行为记录名单、重大税收违法失信主体名单。</w:t>
      </w:r>
      <w:r/>
    </w:p>
    <w:p>
      <w:pPr>
        <w:ind w:firstLine="480"/>
        <w:spacing w:line="360" w:lineRule="auto"/>
        <w:rPr>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color w:val="auto"/>
          <w:sz w:val="24"/>
          <w:szCs w:val="24"/>
          <w:highlight w:val="none"/>
        </w:rPr>
        <w:t xml:space="preserve">供应商单位法定代表人/负责人为同一人或者存在直接控股、管理关系的不同供应商，不得参加同一合同项下的政府采购活动。</w:t>
      </w:r>
      <w:r/>
    </w:p>
    <w:p>
      <w:pPr>
        <w:pStyle w:val="85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r/>
    </w:p>
    <w:p>
      <w:pPr>
        <w:pStyle w:val="869"/>
        <w:ind w:firstLine="240"/>
        <w:spacing w:beforeAutospacing="0" w:afterAutospacing="0"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时间：自磋商文件公告发布之日起5个工作日。</w:t>
      </w:r>
      <w:r/>
    </w:p>
    <w:p>
      <w:pPr>
        <w:pStyle w:val="869"/>
        <w:ind w:firstLine="240"/>
        <w:spacing w:beforeAutospacing="0" w:afterAutospacing="0"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地点：“苏采云”系统</w:t>
      </w:r>
      <w:r/>
    </w:p>
    <w:p>
      <w:pPr>
        <w:pStyle w:val="869"/>
        <w:ind w:firstLine="240"/>
        <w:spacing w:beforeAutospacing="0" w:afterAutospacing="0"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方式：供应商完成注册并办理CA证书后在“苏采云”系统下载本项目的采购文件</w:t>
      </w:r>
      <w:r/>
    </w:p>
    <w:p>
      <w:pPr>
        <w:pStyle w:val="869"/>
        <w:ind w:firstLine="240"/>
        <w:spacing w:beforeAutospacing="0" w:afterAutospacing="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售价：0.00元</w:t>
      </w:r>
      <w:r/>
    </w:p>
    <w:p>
      <w:pPr>
        <w:contextualSpacing/>
        <w:jc w:val="left"/>
        <w:spacing w:line="360" w:lineRule="auto"/>
        <w:widowControl/>
        <w:rPr>
          <w:rFonts w:ascii="宋体" w:hAnsi="宋体" w:cs="宋体"/>
          <w:b/>
          <w:color w:val="auto"/>
          <w:sz w:val="24"/>
          <w:highlight w:val="none"/>
        </w:rPr>
      </w:pPr>
      <w:r>
        <w:rPr>
          <w:rFonts w:hint="eastAsia" w:ascii="宋体" w:hAnsi="宋体" w:cs="宋体"/>
          <w:b/>
          <w:bCs/>
          <w:color w:val="auto"/>
          <w:sz w:val="24"/>
          <w:highlight w:val="none"/>
        </w:rPr>
        <w:t xml:space="preserve">四、响应文件提交</w:t>
      </w:r>
      <w:r/>
    </w:p>
    <w:p>
      <w:pPr>
        <w:ind w:firstLine="24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截止时间：202</w:t>
      </w:r>
      <w:r>
        <w:rPr>
          <w:rFonts w:hint="eastAsia" w:ascii="宋体" w:hAnsi="宋体" w:cs="宋体"/>
          <w:color w:val="auto"/>
          <w:sz w:val="24"/>
          <w:szCs w:val="32"/>
          <w:highlight w:val="none"/>
          <w:lang w:val="en-US" w:eastAsia="zh-CN"/>
        </w:rPr>
        <w:t xml:space="preserve">5</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12</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18</w:t>
      </w:r>
      <w:r>
        <w:rPr>
          <w:rFonts w:hint="eastAsia" w:ascii="宋体" w:hAnsi="宋体" w:cs="宋体"/>
          <w:color w:val="auto"/>
          <w:sz w:val="24"/>
          <w:szCs w:val="32"/>
          <w:highlight w:val="none"/>
        </w:rPr>
        <w:t xml:space="preserve"> 09：</w:t>
      </w:r>
      <w:r>
        <w:rPr>
          <w:rFonts w:hint="eastAsia" w:ascii="宋体" w:hAnsi="宋体" w:cs="宋体"/>
          <w:color w:val="auto"/>
          <w:sz w:val="24"/>
          <w:szCs w:val="32"/>
          <w:highlight w:val="none"/>
          <w:lang w:val="en-US" w:eastAsia="zh-CN"/>
        </w:rPr>
        <w:t xml:space="preserve">0</w:t>
      </w:r>
      <w:r>
        <w:rPr>
          <w:rFonts w:hint="eastAsia" w:ascii="宋体" w:hAnsi="宋体" w:cs="宋体"/>
          <w:color w:val="auto"/>
          <w:sz w:val="24"/>
          <w:szCs w:val="32"/>
          <w:highlight w:val="none"/>
        </w:rPr>
        <w:t xml:space="preserve">0（北京时间）</w:t>
      </w:r>
      <w:r/>
    </w:p>
    <w:p>
      <w:pPr>
        <w:ind w:firstLine="24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地点：“苏采云”政府采购交易系统</w:t>
      </w:r>
      <w:r/>
    </w:p>
    <w:p>
      <w:pPr>
        <w:jc w:val="left"/>
        <w:spacing w:line="360" w:lineRule="auto"/>
        <w:widowControl/>
        <w:rPr>
          <w:rFonts w:ascii="宋体" w:hAnsi="宋体" w:cs="宋体"/>
          <w:b/>
          <w:color w:val="auto"/>
          <w:sz w:val="24"/>
          <w:highlight w:val="none"/>
        </w:rPr>
      </w:pPr>
      <w:r>
        <w:rPr>
          <w:rFonts w:hint="eastAsia" w:ascii="宋体" w:hAnsi="宋体" w:cs="宋体"/>
          <w:b/>
          <w:bCs/>
          <w:color w:val="auto"/>
          <w:sz w:val="24"/>
          <w:highlight w:val="none"/>
        </w:rPr>
        <w:t xml:space="preserve">五、开启</w:t>
      </w:r>
      <w:r/>
    </w:p>
    <w:p>
      <w:pPr>
        <w:ind w:firstLine="24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时间：202</w:t>
      </w:r>
      <w:r>
        <w:rPr>
          <w:rFonts w:hint="eastAsia" w:ascii="宋体" w:hAnsi="宋体" w:cs="宋体"/>
          <w:color w:val="auto"/>
          <w:sz w:val="24"/>
          <w:szCs w:val="32"/>
          <w:highlight w:val="none"/>
          <w:lang w:val="en-US" w:eastAsia="zh-CN"/>
        </w:rPr>
        <w:t xml:space="preserve">5</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12</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18</w:t>
      </w:r>
      <w:bookmarkStart w:id="187" w:name="_GoBack"/>
      <w:r/>
      <w:bookmarkEnd w:id="187"/>
      <w:r>
        <w:rPr>
          <w:rFonts w:hint="eastAsia" w:ascii="宋体" w:hAnsi="宋体" w:cs="宋体"/>
          <w:color w:val="auto"/>
          <w:sz w:val="24"/>
          <w:szCs w:val="32"/>
          <w:highlight w:val="none"/>
          <w:lang w:val="en-US" w:eastAsia="zh-CN"/>
        </w:rPr>
        <w:t xml:space="preserve"> </w:t>
      </w:r>
      <w:r>
        <w:rPr>
          <w:rFonts w:hint="eastAsia" w:ascii="宋体" w:hAnsi="宋体" w:cs="宋体"/>
          <w:color w:val="auto"/>
          <w:sz w:val="24"/>
          <w:szCs w:val="32"/>
          <w:highlight w:val="none"/>
        </w:rPr>
        <w:t xml:space="preserve">09：</w:t>
      </w:r>
      <w:r>
        <w:rPr>
          <w:rFonts w:hint="eastAsia" w:ascii="宋体" w:hAnsi="宋体" w:cs="宋体"/>
          <w:color w:val="auto"/>
          <w:sz w:val="24"/>
          <w:szCs w:val="32"/>
          <w:highlight w:val="none"/>
          <w:lang w:val="en-US" w:eastAsia="zh-CN"/>
        </w:rPr>
        <w:t xml:space="preserve">0</w:t>
      </w:r>
      <w:r>
        <w:rPr>
          <w:rFonts w:hint="eastAsia" w:ascii="宋体" w:hAnsi="宋体" w:cs="宋体"/>
          <w:color w:val="auto"/>
          <w:sz w:val="24"/>
          <w:szCs w:val="32"/>
          <w:highlight w:val="none"/>
        </w:rPr>
        <w:t xml:space="preserve">0（北京时间）</w:t>
      </w:r>
      <w:r/>
    </w:p>
    <w:p>
      <w:pPr>
        <w:ind w:firstLine="240"/>
        <w:jc w:val="left"/>
        <w:spacing w:line="360"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地点：“苏采云”政府采购交易系统网上开标大厅</w:t>
      </w:r>
      <w:r/>
    </w:p>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p>
    <w:p>
      <w:pPr>
        <w:ind w:firstLine="420"/>
        <w:spacing w:line="360" w:lineRule="auto"/>
        <w:tabs>
          <w:tab w:val="left" w:pos="426" w:leader="none"/>
        </w:tabs>
        <w:rPr>
          <w:rFonts w:ascii="宋体" w:hAnsi="宋体" w:cs="宋体"/>
          <w:color w:val="auto"/>
          <w:sz w:val="24"/>
          <w:szCs w:val="32"/>
          <w:highlight w:val="none"/>
        </w:rPr>
      </w:pPr>
      <w:r>
        <w:rPr>
          <w:rFonts w:hint="eastAsia" w:ascii="宋体" w:hAnsi="宋体" w:cs="宋体"/>
          <w:color w:val="auto"/>
          <w:sz w:val="24"/>
          <w:highlight w:val="none"/>
        </w:rPr>
        <w:t xml:space="preserve">自本公告发布之日起3个工作日。</w:t>
      </w:r>
      <w:r/>
    </w:p>
    <w:p>
      <w:pPr>
        <w:numPr>
          <w:ilvl w:val="0"/>
          <w:numId w:val="4"/>
        </w:numPr>
        <w:spacing w:line="360" w:lineRule="auto"/>
        <w:rPr>
          <w:rFonts w:ascii="宋体" w:hAnsi="宋体" w:cs="宋体"/>
          <w:b/>
          <w:bCs/>
          <w:color w:val="auto"/>
          <w:sz w:val="24"/>
          <w:highlight w:val="none"/>
        </w:rPr>
      </w:pPr>
      <w:r/>
      <w:bookmarkStart w:id="15" w:name="_Toc35393635"/>
      <w:r/>
      <w:bookmarkStart w:id="16" w:name="_Toc35393804"/>
      <w:r>
        <w:rPr>
          <w:rFonts w:hint="eastAsia" w:ascii="宋体" w:hAnsi="宋体" w:cs="宋体"/>
          <w:b/>
          <w:bCs/>
          <w:color w:val="auto"/>
          <w:sz w:val="24"/>
          <w:highlight w:val="none"/>
        </w:rPr>
        <w:t xml:space="preserve">其他补充事宜</w:t>
      </w:r>
      <w:bookmarkEnd w:id="15"/>
      <w:r/>
      <w:bookmarkEnd w:id="16"/>
      <w:r/>
      <w:r/>
    </w:p>
    <w:p>
      <w:pPr>
        <w:ind w:firstLine="240"/>
        <w:jc w:val="left"/>
        <w:keepLines w:val="0"/>
        <w:keepNext w:val="0"/>
        <w:pageBreakBefore w:val="0"/>
        <w:spacing w:line="36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1.供应商如确定参加磋商，可自行下载采购文件及有关资料，按照采购文件规定进行注册、领取CA和办理电子签章（请至泰州市高港区泰州大道388号(中国医药城会展交易中心W3馆西南角)公共资源交易大厅6号窗口办理，供应商</w:t>
      </w:r>
      <w:r>
        <w:rPr>
          <w:rFonts w:hint="eastAsia" w:ascii="宋体" w:hAnsi="宋体" w:cs="宋体"/>
          <w:color w:val="auto"/>
          <w:sz w:val="24"/>
          <w:szCs w:val="32"/>
          <w:highlight w:val="none"/>
          <w:lang w:val="en-US" w:eastAsia="zh-CN"/>
        </w:rPr>
        <w:t xml:space="preserve">也</w:t>
      </w:r>
      <w:r>
        <w:rPr>
          <w:rFonts w:hint="default" w:ascii="宋体" w:hAnsi="宋体" w:cs="宋体"/>
          <w:color w:val="auto"/>
          <w:sz w:val="24"/>
          <w:szCs w:val="32"/>
          <w:highlight w:val="none"/>
          <w:lang w:val="en-US" w:eastAsia="zh-CN"/>
        </w:rPr>
        <w:t xml:space="preserve">可以通过邮寄</w:t>
      </w:r>
      <w:r>
        <w:rPr>
          <w:rFonts w:hint="eastAsia" w:ascii="宋体" w:hAnsi="宋体" w:cs="宋体"/>
          <w:color w:val="auto"/>
          <w:sz w:val="24"/>
          <w:szCs w:val="32"/>
          <w:highlight w:val="none"/>
          <w:lang w:val="en-US" w:eastAsia="zh-CN"/>
        </w:rPr>
        <w:t xml:space="preserve">的</w:t>
      </w:r>
      <w:r>
        <w:rPr>
          <w:rFonts w:hint="default" w:ascii="宋体" w:hAnsi="宋体" w:cs="宋体"/>
          <w:color w:val="auto"/>
          <w:sz w:val="24"/>
          <w:szCs w:val="32"/>
          <w:highlight w:val="none"/>
          <w:lang w:val="en-US" w:eastAsia="zh-CN"/>
        </w:rPr>
        <w:t xml:space="preserve">方式办理</w:t>
      </w:r>
      <w:r>
        <w:rPr>
          <w:rFonts w:hint="eastAsia" w:ascii="宋体" w:hAnsi="宋体" w:cs="宋体"/>
          <w:color w:val="auto"/>
          <w:sz w:val="24"/>
          <w:szCs w:val="32"/>
          <w:highlight w:val="none"/>
          <w:lang w:val="en-US" w:eastAsia="zh-CN"/>
        </w:rPr>
        <w:t xml:space="preserve">，</w:t>
      </w:r>
      <w:r>
        <w:rPr>
          <w:rFonts w:hint="eastAsia" w:ascii="宋体" w:hAnsi="宋体" w:cs="宋体"/>
          <w:color w:val="auto"/>
          <w:sz w:val="24"/>
          <w:szCs w:val="32"/>
          <w:highlight w:val="none"/>
        </w:rPr>
        <w:t xml:space="preserve">电话：0523-81568158，17327800634），根据《“苏采云”系统供应商操作手册</w:t>
      </w:r>
      <w:r>
        <w:rPr>
          <w:color w:val="auto"/>
          <w:highlight w:val="none"/>
        </w:rPr>
        <w:fldChar w:fldCharType="begin"/>
      </w:r>
      <w:r>
        <w:rPr>
          <w:color w:val="auto"/>
          <w:highlight w:val="none"/>
        </w:rPr>
        <w:instrText xml:space="preserve"> HYPERLINK "http://www.ccgp-" </w:instrText>
      </w:r>
      <w:r>
        <w:rPr>
          <w:color w:val="auto"/>
          <w:highlight w:val="none"/>
        </w:rPr>
        <w:fldChar w:fldCharType="separate"/>
      </w:r>
      <w:r>
        <w:rPr>
          <w:rStyle w:val="875"/>
          <w:rFonts w:hint="eastAsia" w:ascii="宋体" w:hAnsi="宋体" w:cs="宋体"/>
          <w:color w:val="auto"/>
          <w:sz w:val="24"/>
          <w:szCs w:val="32"/>
          <w:highlight w:val="none"/>
        </w:rPr>
        <w:t xml:space="preserve">http://www.ccgp-</w:t>
      </w:r>
      <w:r>
        <w:rPr>
          <w:rStyle w:val="875"/>
          <w:rFonts w:hint="eastAsia" w:ascii="宋体" w:hAnsi="宋体" w:cs="宋体"/>
          <w:color w:val="auto"/>
          <w:sz w:val="24"/>
          <w:szCs w:val="32"/>
          <w:highlight w:val="none"/>
        </w:rPr>
        <w:fldChar w:fldCharType="end"/>
      </w:r>
      <w:r>
        <w:rPr>
          <w:rFonts w:hint="eastAsia" w:ascii="宋体" w:hAnsi="宋体" w:cs="宋体"/>
          <w:color w:val="auto"/>
          <w:sz w:val="24"/>
          <w:szCs w:val="32"/>
          <w:highlight w:val="none"/>
        </w:rPr>
        <w:t xml:space="preserve">jiangsu.gov.cn/jiangsu/zlxz/ee/ee3a4bc5a3454aa2b0d9312230633ce9.html》规定，在“苏采云”（ http://jszfcg.jsczt.cn/jszc/login）中按要求制作、上传电子响应文件（技术支持电话：0523-86897512；客服QQ：709339244、1195486789）。有关本次磋商的事项若存在变动或修改，敬请及时关注“江苏政府采购网”发布的更正公告。</w:t>
      </w:r>
      <w:r/>
    </w:p>
    <w:p>
      <w:pPr>
        <w:ind w:firstLine="240"/>
        <w:jc w:val="left"/>
        <w:keepLines w:val="0"/>
        <w:keepNext w:val="0"/>
        <w:pageBreakBefore w:val="0"/>
        <w:spacing w:line="36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2.根据省财政厅《关于</w:t>
      </w:r>
      <w:r>
        <w:rPr>
          <w:rFonts w:hint="eastAsia" w:ascii="宋体" w:hAnsi="宋体" w:cs="宋体"/>
          <w:color w:val="auto"/>
          <w:sz w:val="24"/>
          <w:szCs w:val="32"/>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240"/>
        <w:jc w:val="left"/>
        <w:keepLines w:val="0"/>
        <w:keepNext w:val="0"/>
        <w:pageBreakBefore w:val="0"/>
        <w:spacing w:line="36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240"/>
        <w:jc w:val="left"/>
        <w:keepLines w:val="0"/>
        <w:keepNext w:val="0"/>
        <w:pageBreakBefore w:val="0"/>
        <w:spacing w:line="360" w:lineRule="auto"/>
        <w:widowControl w:val="off"/>
        <w:rPr>
          <w:rFonts w:ascii="宋体" w:hAnsi="宋体" w:cs="宋体"/>
          <w:color w:val="auto"/>
          <w:sz w:val="24"/>
          <w:szCs w:val="32"/>
          <w:highlight w:val="none"/>
        </w:rPr>
      </w:pPr>
      <w:r>
        <w:rPr>
          <w:rFonts w:hint="eastAsia" w:ascii="宋体" w:hAnsi="宋体" w:cs="宋体"/>
          <w:color w:val="auto"/>
          <w:sz w:val="24"/>
          <w:szCs w:val="32"/>
          <w:highlight w:val="none"/>
        </w:rPr>
        <w:t xml:space="preserve">3.本次磋商不收取磋商保证金。</w:t>
      </w:r>
      <w:r/>
    </w:p>
    <w:p>
      <w:pPr>
        <w:jc w:val="left"/>
        <w:spacing w:line="360" w:lineRule="auto"/>
        <w:widowControl/>
        <w:rPr>
          <w:rFonts w:ascii="宋体" w:hAnsi="宋体" w:cs="宋体"/>
          <w:b/>
          <w:bCs/>
          <w:color w:val="auto"/>
          <w:sz w:val="24"/>
          <w:highlight w:val="none"/>
        </w:rPr>
      </w:pPr>
      <w:r/>
      <w:bookmarkStart w:id="17" w:name="_Toc21247"/>
      <w:r>
        <w:rPr>
          <w:rFonts w:hint="eastAsia" w:ascii="宋体" w:hAnsi="宋体" w:cs="宋体"/>
          <w:b/>
          <w:bCs/>
          <w:color w:val="auto"/>
          <w:sz w:val="24"/>
          <w:highlight w:val="none"/>
        </w:rPr>
        <w:t xml:space="preserve">八、凡对本次采购提出询问，请按以下方式联系。</w:t>
      </w:r>
      <w:r/>
    </w:p>
    <w:p>
      <w:pPr>
        <w:ind w:firstLine="24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泰州市胡庄镇人民政府</w:t>
      </w:r>
      <w:r>
        <w:rPr>
          <w:rFonts w:hint="eastAsia" w:ascii="宋体" w:hAnsi="宋体" w:cs="宋体"/>
          <w:color w:val="auto"/>
          <w:sz w:val="24"/>
          <w:highlight w:val="none"/>
        </w:rPr>
        <w:t xml:space="preserve">　　</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szCs w:val="24"/>
          <w:highlight w:val="none"/>
          <w:lang w:eastAsia="zh-CN"/>
        </w:rPr>
        <w:t xml:space="preserve">高港区</w:t>
      </w:r>
      <w:r>
        <w:rPr>
          <w:rFonts w:hint="eastAsia" w:ascii="宋体" w:hAnsi="宋体" w:cs="宋体"/>
          <w:color w:val="auto"/>
          <w:sz w:val="24"/>
          <w:szCs w:val="24"/>
          <w:highlight w:val="none"/>
          <w:lang w:val="en-US" w:eastAsia="zh-CN"/>
        </w:rPr>
        <w:t xml:space="preserve">胡庄镇</w:t>
      </w:r>
      <w:r>
        <w:rPr>
          <w:rFonts w:hint="eastAsia" w:ascii="宋体" w:hAnsi="宋体" w:cs="宋体"/>
          <w:color w:val="auto"/>
          <w:sz w:val="24"/>
          <w:szCs w:val="24"/>
          <w:highlight w:val="none"/>
          <w:lang w:eastAsia="zh-CN"/>
        </w:rPr>
        <w:t xml:space="preserve">安康大道1号</w:t>
      </w:r>
      <w:r>
        <w:rPr>
          <w:rFonts w:hint="eastAsia" w:ascii="宋体" w:hAnsi="宋体" w:cs="宋体"/>
          <w:color w:val="auto"/>
          <w:sz w:val="24"/>
          <w:highlight w:val="none"/>
        </w:rPr>
        <w:t xml:space="preserve">　</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联 系 人：</w:t>
      </w:r>
      <w:r>
        <w:rPr>
          <w:rFonts w:hint="eastAsia" w:ascii="宋体" w:hAnsi="宋体" w:cs="宋体"/>
          <w:color w:val="auto"/>
          <w:sz w:val="24"/>
          <w:szCs w:val="24"/>
          <w:highlight w:val="none"/>
          <w:lang w:val="en-US" w:eastAsia="zh-CN"/>
        </w:rPr>
        <w:t xml:space="preserve">唐</w:t>
      </w:r>
      <w:r>
        <w:rPr>
          <w:rFonts w:hint="eastAsia" w:ascii="宋体" w:hAnsi="宋体" w:cs="宋体"/>
          <w:color w:val="auto"/>
          <w:sz w:val="24"/>
          <w:szCs w:val="24"/>
          <w:highlight w:val="none"/>
        </w:rPr>
        <w:t xml:space="preserve">女士</w:t>
      </w:r>
      <w:r>
        <w:rPr>
          <w:rFonts w:hint="eastAsia" w:ascii="宋体" w:hAnsi="宋体" w:cs="宋体"/>
          <w:color w:val="auto"/>
          <w:sz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联系电话：0523-89557978</w:t>
      </w:r>
      <w:r/>
    </w:p>
    <w:p>
      <w:pPr>
        <w:ind w:firstLine="24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名    称：江苏信和工程建设管理房地产评估有限公司</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　　址：泰州市海陵区亿蜂产业创新基地2号楼一单元202室</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 系 人：祝</w:t>
      </w:r>
      <w:r>
        <w:rPr>
          <w:rFonts w:hint="eastAsia" w:ascii="宋体" w:hAnsi="宋体" w:cs="宋体"/>
          <w:color w:val="auto"/>
          <w:sz w:val="24"/>
          <w:highlight w:val="none"/>
          <w:lang w:val="en-US" w:eastAsia="zh-CN"/>
        </w:rPr>
        <w:t xml:space="preserve">女士</w:t>
      </w:r>
      <w:r/>
    </w:p>
    <w:p>
      <w:pPr>
        <w:ind w:firstLine="480"/>
        <w:jc w:val="left"/>
        <w:spacing w:line="360" w:lineRule="auto"/>
        <w:shd w:val="clear" w:color="auto" w:fill="ffffff"/>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18652651279</w:t>
      </w:r>
      <w:r/>
    </w:p>
    <w:p>
      <w:pPr>
        <w:ind w:firstLine="24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项目联系人：祝</w:t>
      </w:r>
      <w:r>
        <w:rPr>
          <w:rFonts w:hint="eastAsia" w:ascii="宋体" w:hAnsi="宋体" w:cs="宋体"/>
          <w:color w:val="auto"/>
          <w:sz w:val="24"/>
          <w:highlight w:val="none"/>
          <w:lang w:val="en-US" w:eastAsia="zh-CN"/>
        </w:rPr>
        <w:t xml:space="preserve">女士</w:t>
      </w:r>
      <w:r/>
    </w:p>
    <w:p>
      <w:pPr>
        <w:ind w:firstLine="480"/>
        <w:jc w:val="left"/>
        <w:spacing w:line="360" w:lineRule="auto"/>
        <w:shd w:val="clear" w:color="auto" w:fill="ffffff"/>
        <w:widowControl/>
        <w:rPr>
          <w:rFonts w:hint="default" w:ascii="宋体" w:hAnsi="宋体" w:cs="宋体"/>
          <w:color w:val="auto"/>
          <w:sz w:val="24"/>
          <w:highlight w:val="none"/>
          <w:lang w:val="en-US"/>
        </w:rPr>
        <w:sectPr>
          <w:footerReference w:type="default" r:id="rId10"/>
          <w:footnotePr/>
          <w:endnotePr/>
          <w:type w:val="nextPage"/>
          <w:pgSz w:w="11906" w:h="16838" w:orient="portrait"/>
          <w:pgMar w:top="1247" w:right="1418" w:bottom="964" w:left="1418" w:header="851" w:footer="992" w:gutter="0"/>
          <w:pgNumType w:start="1"/>
          <w:cols w:num="1" w:sep="0" w:space="720" w:equalWidth="1"/>
          <w:docGrid w:linePitch="360"/>
        </w:sectPr>
      </w:pPr>
      <w:r>
        <w:rPr>
          <w:rFonts w:hint="eastAsia" w:ascii="宋体" w:hAnsi="宋体" w:cs="宋体"/>
          <w:color w:val="auto"/>
          <w:sz w:val="24"/>
          <w:highlight w:val="none"/>
        </w:rPr>
        <w:t xml:space="preserve">电　　 话：</w:t>
      </w:r>
      <w:r>
        <w:rPr>
          <w:rFonts w:hint="eastAsia" w:ascii="宋体" w:hAnsi="宋体" w:cs="宋体"/>
          <w:color w:val="auto"/>
          <w:sz w:val="24"/>
          <w:highlight w:val="none"/>
          <w:lang w:val="en-US" w:eastAsia="zh-CN"/>
        </w:rPr>
        <w:t xml:space="preserve">18652651279</w:t>
      </w:r>
      <w:r/>
    </w:p>
    <w:p>
      <w:pPr>
        <w:numPr>
          <w:ilvl w:val="0"/>
          <w:numId w:val="5"/>
        </w:num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 参加磋商供应商须知</w:t>
      </w:r>
      <w:bookmarkEnd w:id="6"/>
      <w:r/>
      <w:bookmarkEnd w:id="17"/>
      <w:r/>
      <w:r/>
    </w:p>
    <w:p>
      <w:pPr>
        <w:ind w:firstLine="3855"/>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供应商须知前附表</w:t>
      </w:r>
      <w:r/>
    </w:p>
    <w:tbl>
      <w:tblPr>
        <w:tblStyle w:val="846"/>
        <w:tblW w:w="9420" w:type="dxa"/>
        <w:jc w:val="center"/>
        <w:tblLayout w:type="fixed"/>
        <w:tblCellMar>
          <w:left w:w="108" w:type="dxa"/>
          <w:top w:w="0" w:type="dxa"/>
          <w:right w:w="108" w:type="dxa"/>
          <w:bottom w:w="0" w:type="dxa"/>
        </w:tblCellMar>
        <w:tblLook w:val="04A0" w:firstRow="1" w:lastRow="0" w:firstColumn="1" w:lastColumn="0" w:noHBand="0" w:noVBand="1"/>
      </w:tblPr>
      <w:tblGrid>
        <w:gridCol w:w="936"/>
        <w:gridCol w:w="8484"/>
      </w:tblGrid>
      <w:tr>
        <w:trPr>
          <w:jc w:val="center"/>
          <w:trHeight w:val="532"/>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内    容</w:t>
            </w:r>
            <w:r/>
          </w:p>
        </w:tc>
      </w:tr>
      <w:tr>
        <w:trPr>
          <w:jc w:val="center"/>
          <w:trHeight w:val="665"/>
        </w:trPr>
        <w:tc>
          <w:tcPr>
            <w:tcBorders>
              <w:top w:val="single" w:color="000000" w:sz="6" w:space="0"/>
              <w:left w:val="single" w:color="000000" w:sz="6" w:space="0"/>
              <w:bottom w:val="none" w:color="000000" w:sz="4" w:space="0"/>
              <w:right w:val="single" w:color="000000" w:sz="6" w:space="0"/>
            </w:tcBorders>
            <w:tcW w:w="936" w:type="dxa"/>
            <w:vAlign w:val="center"/>
            <w:textDirection w:val="lrTb"/>
            <w:noWrap w:val="false"/>
          </w:tcPr>
          <w:p>
            <w:pPr>
              <w:pStyle w:val="1114"/>
              <w:jc w:val="center"/>
              <w:spacing w:line="480" w:lineRule="exact"/>
              <w:rPr>
                <w:rFonts w:cs="宋体"/>
                <w:bCs/>
                <w:color w:val="auto"/>
                <w:sz w:val="24"/>
                <w:szCs w:val="24"/>
                <w:highlight w:val="none"/>
                <w:lang w:val="zh-CN"/>
              </w:rPr>
            </w:pPr>
            <w:r>
              <w:rPr>
                <w:rFonts w:hint="eastAsia" w:cs="宋体"/>
                <w:bCs/>
                <w:color w:val="auto"/>
                <w:sz w:val="24"/>
                <w:szCs w:val="24"/>
                <w:highlight w:val="none"/>
                <w:lang w:val="zh-CN"/>
              </w:rPr>
              <w:t xml:space="preserve">1</w:t>
            </w:r>
            <w:r/>
          </w:p>
        </w:tc>
        <w:tc>
          <w:tcPr>
            <w:tcBorders>
              <w:top w:val="single" w:color="000000" w:sz="6" w:space="0"/>
              <w:left w:val="single" w:color="000000" w:sz="6" w:space="0"/>
              <w:bottom w:val="none" w:color="000000" w:sz="4" w:space="0"/>
              <w:right w:val="single" w:color="000000" w:sz="6" w:space="0"/>
            </w:tcBorders>
            <w:tcW w:w="8484" w:type="dxa"/>
            <w:vAlign w:val="center"/>
            <w:textDirection w:val="lrTb"/>
            <w:noWrap w:val="false"/>
          </w:tcPr>
          <w:p>
            <w:pPr>
              <w:jc w:val="both"/>
              <w:spacing w:line="480" w:lineRule="exact"/>
              <w:rPr>
                <w:rFonts w:hint="eastAsia" w:ascii="宋体" w:hAnsi="宋体" w:eastAsia="宋体" w:cs="宋体"/>
                <w:color w:val="auto"/>
                <w:sz w:val="24"/>
                <w:highlight w:val="none"/>
                <w:lang w:val="en-US" w:eastAsia="zh-CN"/>
              </w:rPr>
            </w:pPr>
            <w:r/>
            <w:bookmarkStart w:id="18" w:name="_Toc296357331"/>
            <w:r>
              <w:rPr>
                <w:rFonts w:hint="eastAsia" w:ascii="宋体" w:hAnsi="宋体" w:cs="宋体"/>
                <w:color w:val="auto"/>
                <w:sz w:val="24"/>
                <w:highlight w:val="none"/>
                <w:lang w:val="zh-CN"/>
              </w:rPr>
              <w:t xml:space="preserve">项目名称</w:t>
            </w:r>
            <w:bookmarkEnd w:id="18"/>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胡庄镇人民政府食堂管理服务项目（</w:t>
            </w:r>
            <w:r>
              <w:rPr>
                <w:rFonts w:hint="eastAsia" w:ascii="宋体" w:hAnsi="宋体" w:eastAsia="宋体" w:cs="宋体"/>
                <w:color w:val="auto"/>
                <w:sz w:val="24"/>
                <w:szCs w:val="24"/>
                <w:highlight w:val="none"/>
                <w:lang w:eastAsia="zh-CN"/>
              </w:rPr>
              <w:t xml:space="preserve">2025年12月-2026年11月</w:t>
            </w:r>
            <w:r>
              <w:rPr>
                <w:rFonts w:hint="eastAsia" w:ascii="宋体" w:hAnsi="宋体" w:cs="宋体"/>
                <w:color w:val="auto"/>
                <w:sz w:val="24"/>
                <w:highlight w:val="none"/>
                <w:lang w:eastAsia="zh-CN"/>
              </w:rPr>
              <w:t xml:space="preserve">）</w:t>
            </w:r>
            <w:r/>
          </w:p>
          <w:p>
            <w:pPr>
              <w:jc w:val="both"/>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JSZC-321203-XHJS-C2025-0058</w:t>
            </w:r>
            <w:r/>
          </w:p>
        </w:tc>
      </w:tr>
      <w:tr>
        <w:trPr>
          <w:jc w:val="center"/>
          <w:trHeight w:val="71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   购   人：</w:t>
            </w:r>
            <w:r>
              <w:rPr>
                <w:rFonts w:hint="eastAsia" w:ascii="宋体" w:hAnsi="宋体" w:cs="宋体"/>
                <w:color w:val="auto"/>
                <w:sz w:val="24"/>
                <w:szCs w:val="24"/>
                <w:highlight w:val="none"/>
                <w:lang w:eastAsia="zh-CN"/>
              </w:rPr>
              <w:t xml:space="preserve">泰州市胡庄镇人民政府</w:t>
            </w:r>
            <w:r/>
          </w:p>
          <w:p>
            <w:pPr>
              <w:jc w:val="both"/>
              <w:spacing w:line="360" w:lineRule="auto"/>
              <w:rPr>
                <w:rFonts w:ascii="宋体" w:hAnsi="宋体" w:cs="宋体"/>
                <w:color w:val="auto"/>
                <w:sz w:val="24"/>
                <w:highlight w:val="none"/>
                <w:lang w:val="zh-CN"/>
              </w:rPr>
            </w:pPr>
            <w:r>
              <w:rPr>
                <w:rFonts w:hint="eastAsia" w:ascii="宋体" w:hAnsi="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江苏信和工程建设管理房地产评估有限公司</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480" w:lineRule="exact"/>
              <w:rPr>
                <w:rFonts w:ascii="宋体" w:hAnsi="宋体" w:cs="宋体"/>
                <w:color w:val="auto"/>
                <w:sz w:val="24"/>
                <w:highlight w:val="none"/>
              </w:rPr>
            </w:pPr>
            <w:r>
              <w:rPr>
                <w:rFonts w:hint="eastAsia" w:ascii="宋体" w:hAnsi="宋体" w:cs="宋体"/>
                <w:color w:val="auto"/>
                <w:sz w:val="24"/>
                <w:highlight w:val="none"/>
                <w:lang w:val="zh-CN"/>
              </w:rPr>
              <w:t xml:space="preserve">采购</w:t>
            </w:r>
            <w:r>
              <w:rPr>
                <w:rFonts w:hint="eastAsia" w:ascii="宋体" w:hAnsi="宋体" w:cs="宋体"/>
                <w:color w:val="auto"/>
                <w:sz w:val="24"/>
                <w:highlight w:val="none"/>
              </w:rPr>
              <w:t xml:space="preserve">方</w:t>
            </w:r>
            <w:r>
              <w:rPr>
                <w:rFonts w:hint="eastAsia" w:ascii="宋体" w:hAnsi="宋体" w:cs="宋体"/>
                <w:color w:val="auto"/>
                <w:sz w:val="24"/>
                <w:highlight w:val="none"/>
                <w:lang w:val="zh-CN"/>
              </w:rPr>
              <w:t xml:space="preserve">式：</w:t>
            </w:r>
            <w:r>
              <w:rPr>
                <w:rFonts w:hint="eastAsia" w:ascii="宋体" w:hAnsi="宋体" w:eastAsia="宋体" w:cs="宋体"/>
                <w:color w:val="auto"/>
                <w:sz w:val="24"/>
                <w:highlight w:val="none"/>
                <w:lang w:val="zh-CN"/>
              </w:rPr>
              <w:t xml:space="preserve">竞争性磋商</w:t>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7</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万元人民币</w:t>
            </w:r>
            <w:r/>
          </w:p>
          <w:p>
            <w:pPr>
              <w:jc w:val="both"/>
              <w:spacing w:line="360" w:lineRule="auto"/>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7</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万元人民币</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pStyle w:val="851"/>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bidi="ar-SA"/>
              </w:rPr>
              <w:t xml:space="preserve">2025年12月-2026年11月</w:t>
            </w:r>
            <w:r/>
          </w:p>
          <w:p>
            <w:pPr>
              <w:jc w:val="both"/>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合同履行地点：</w:t>
            </w:r>
            <w:r>
              <w:rPr>
                <w:rFonts w:hint="eastAsia" w:ascii="宋体" w:hAnsi="宋体" w:eastAsia="宋体" w:cs="宋体"/>
                <w:color w:val="auto"/>
                <w:sz w:val="24"/>
                <w:szCs w:val="24"/>
                <w:highlight w:val="none"/>
                <w:lang w:eastAsia="zh-CN"/>
              </w:rPr>
              <w:t xml:space="preserve">泰州市胡庄镇人民政府</w:t>
            </w:r>
            <w:r/>
          </w:p>
        </w:tc>
      </w:tr>
      <w:tr>
        <w:trPr>
          <w:jc w:val="center"/>
          <w:trHeight w:val="478"/>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480" w:lineRule="exact"/>
              <w:rPr>
                <w:rFonts w:ascii="宋体" w:hAnsi="宋体" w:cs="宋体"/>
                <w:color w:val="auto"/>
                <w:sz w:val="24"/>
                <w:highlight w:val="none"/>
                <w:lang w:val="zh-CN"/>
              </w:rPr>
            </w:pPr>
            <w:r>
              <w:rPr>
                <w:rFonts w:hint="eastAsia" w:ascii="宋体" w:hAnsi="宋体" w:cs="宋体"/>
                <w:color w:val="auto"/>
                <w:sz w:val="24"/>
                <w:szCs w:val="24"/>
                <w:highlight w:val="none"/>
              </w:rPr>
              <w:t xml:space="preserve">磋商有效期：</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天</w:t>
            </w:r>
            <w:r/>
          </w:p>
        </w:tc>
      </w:tr>
      <w:tr>
        <w:trPr>
          <w:jc w:val="center"/>
          <w:trHeight w:val="647"/>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480" w:lineRule="exact"/>
              <w:rPr>
                <w:rFonts w:ascii="宋体" w:hAnsi="宋体" w:cs="宋体"/>
                <w:color w:val="auto"/>
                <w:sz w:val="24"/>
                <w:highlight w:val="none"/>
              </w:rPr>
            </w:pPr>
            <w:r>
              <w:rPr>
                <w:rFonts w:hint="eastAsia" w:ascii="宋体" w:hAnsi="宋体" w:cs="宋体"/>
                <w:color w:val="auto"/>
                <w:sz w:val="24"/>
                <w:highlight w:val="none"/>
                <w:lang w:val="zh-CN"/>
              </w:rPr>
              <w:t xml:space="preserve">响应文件提交：</w:t>
            </w:r>
            <w:r>
              <w:rPr>
                <w:rFonts w:hint="eastAsia" w:ascii="宋体" w:hAnsi="宋体" w:cs="宋体"/>
                <w:color w:val="auto"/>
                <w:sz w:val="24"/>
                <w:highlight w:val="none"/>
              </w:rPr>
              <w:t xml:space="preserve">详见</w:t>
            </w:r>
            <w:r>
              <w:rPr>
                <w:rFonts w:hint="eastAsia" w:ascii="宋体" w:hAnsi="宋体" w:cs="宋体"/>
                <w:color w:val="auto"/>
                <w:sz w:val="24"/>
                <w:highlight w:val="none"/>
                <w:lang w:val="zh-CN"/>
              </w:rPr>
              <w:t xml:space="preserve">采购公告</w:t>
            </w:r>
            <w:r/>
          </w:p>
        </w:tc>
      </w:tr>
      <w:tr>
        <w:trPr>
          <w:jc w:val="center"/>
          <w:trHeight w:val="67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开启时间：</w:t>
            </w:r>
            <w:r>
              <w:rPr>
                <w:rFonts w:hint="eastAsia" w:ascii="宋体" w:hAnsi="宋体" w:cs="宋体"/>
                <w:color w:val="auto"/>
                <w:sz w:val="24"/>
                <w:highlight w:val="none"/>
              </w:rPr>
              <w:t xml:space="preserve">详见</w:t>
            </w:r>
            <w:r>
              <w:rPr>
                <w:rFonts w:hint="eastAsia" w:ascii="宋体" w:hAnsi="宋体" w:cs="宋体"/>
                <w:color w:val="auto"/>
                <w:sz w:val="24"/>
                <w:highlight w:val="none"/>
                <w:lang w:val="zh-CN"/>
              </w:rPr>
              <w:t xml:space="preserve">采购公告</w:t>
            </w:r>
            <w:r/>
          </w:p>
        </w:tc>
      </w:tr>
      <w:tr>
        <w:trPr>
          <w:jc w:val="center"/>
          <w:trHeight w:val="746"/>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zh-CN"/>
              </w:rPr>
              <w:t xml:space="preserve">签订合同地点：</w:t>
            </w:r>
            <w:r>
              <w:rPr>
                <w:rFonts w:hint="eastAsia" w:ascii="宋体" w:hAnsi="宋体" w:cs="宋体"/>
                <w:color w:val="auto"/>
                <w:sz w:val="24"/>
                <w:highlight w:val="none"/>
                <w:lang w:eastAsia="zh-CN"/>
              </w:rPr>
              <w:t xml:space="preserve">泰州市胡庄镇人民政府</w:t>
            </w:r>
            <w:r/>
          </w:p>
          <w:p>
            <w:pPr>
              <w:jc w:val="both"/>
              <w:spacing w:line="480" w:lineRule="exact"/>
              <w:rPr>
                <w:rFonts w:ascii="宋体" w:hAnsi="宋体" w:cs="宋体"/>
                <w:color w:val="auto"/>
                <w:spacing w:val="15"/>
                <w:sz w:val="24"/>
                <w:highlight w:val="none"/>
              </w:rPr>
            </w:pPr>
            <w:r>
              <w:rPr>
                <w:rFonts w:hint="eastAsia" w:ascii="宋体" w:hAnsi="宋体" w:cs="宋体"/>
                <w:color w:val="auto"/>
                <w:sz w:val="24"/>
                <w:highlight w:val="none"/>
                <w:lang w:val="zh-CN"/>
              </w:rPr>
              <w:t xml:space="preserve">合同形式：</w:t>
            </w:r>
            <w:r>
              <w:rPr>
                <w:rFonts w:hint="eastAsia" w:ascii="宋体" w:hAnsi="宋体" w:eastAsia="宋体" w:cs="宋体"/>
                <w:color w:val="auto"/>
                <w:sz w:val="24"/>
                <w:szCs w:val="24"/>
                <w:highlight w:val="none"/>
              </w:rPr>
              <w:t xml:space="preserve">固定总价合同</w:t>
            </w:r>
            <w:r/>
          </w:p>
        </w:tc>
      </w:tr>
      <w:tr>
        <w:trPr>
          <w:jc w:val="center"/>
          <w:trHeight w:val="746"/>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480" w:lineRule="exact"/>
              <w:rPr>
                <w:rFonts w:ascii="宋体" w:hAnsi="宋体" w:cs="宋体"/>
                <w:color w:val="auto"/>
                <w:sz w:val="24"/>
                <w:highlight w:val="none"/>
              </w:rPr>
            </w:pPr>
            <w:r>
              <w:rPr>
                <w:rFonts w:hint="eastAsia" w:ascii="宋体" w:hAnsi="宋体" w:cs="宋体"/>
                <w:color w:val="auto"/>
                <w:sz w:val="24"/>
                <w:highlight w:val="none"/>
                <w:lang w:val="zh-CN"/>
              </w:rPr>
              <w:t xml:space="preserve">最高投标限价：</w:t>
            </w:r>
            <w:r>
              <w:rPr>
                <w:rFonts w:hint="eastAsia" w:ascii="宋体" w:hAnsi="宋体" w:cs="宋体"/>
                <w:color w:val="auto"/>
                <w:sz w:val="24"/>
                <w:highlight w:val="none"/>
              </w:rPr>
              <w:t xml:space="preserve">详见采购公告</w:t>
            </w:r>
            <w:r/>
          </w:p>
          <w:p>
            <w:pPr>
              <w:jc w:val="both"/>
              <w:spacing w:line="480" w:lineRule="exact"/>
              <w:rPr>
                <w:rFonts w:hint="eastAsia" w:ascii="宋体" w:hAnsi="宋体" w:eastAsia="宋体" w:cs="宋体"/>
                <w:color w:val="auto"/>
                <w:sz w:val="24"/>
                <w:highlight w:val="none"/>
                <w:lang w:val="zh-CN" w:eastAsia="zh-CN"/>
              </w:rPr>
            </w:pPr>
            <w:r>
              <w:rPr>
                <w:rFonts w:hint="eastAsia" w:ascii="宋体" w:hAnsi="宋体" w:cs="宋体"/>
                <w:color w:val="auto"/>
                <w:sz w:val="24"/>
                <w:szCs w:val="32"/>
                <w:highlight w:val="none"/>
              </w:rPr>
              <w:t xml:space="preserve">响应报价不得超过采购项目最高限价金额，否则按无效响应处理</w:t>
            </w:r>
            <w:r>
              <w:rPr>
                <w:rFonts w:hint="eastAsia" w:ascii="宋体" w:hAnsi="宋体" w:cs="宋体"/>
                <w:color w:val="auto"/>
                <w:sz w:val="24"/>
                <w:szCs w:val="32"/>
                <w:highlight w:val="none"/>
                <w:lang w:eastAsia="zh-CN"/>
              </w:rPr>
              <w:t xml:space="preserve">。</w:t>
            </w:r>
            <w:r/>
          </w:p>
        </w:tc>
      </w:tr>
      <w:tr>
        <w:trPr>
          <w:jc w:val="center"/>
          <w:trHeight w:val="497"/>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履约保证金：中标价的10%。</w:t>
            </w:r>
            <w:r/>
          </w:p>
          <w:p>
            <w:pPr>
              <w:jc w:val="both"/>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提交时间：收到成交通知书后，并在签订合同前提交。</w:t>
            </w:r>
            <w:r/>
          </w:p>
          <w:p>
            <w:pPr>
              <w:jc w:val="both"/>
              <w:spacing w:line="480" w:lineRule="exact"/>
              <w:rPr>
                <w:rFonts w:ascii="宋体" w:hAnsi="宋体" w:cs="宋体"/>
                <w:color w:val="auto"/>
                <w:sz w:val="24"/>
                <w:szCs w:val="32"/>
                <w:highlight w:val="none"/>
              </w:rPr>
            </w:pPr>
            <w:r>
              <w:rPr>
                <w:rFonts w:hint="eastAsia" w:ascii="宋体" w:hAnsi="宋体" w:cs="宋体"/>
                <w:color w:val="auto"/>
                <w:sz w:val="24"/>
                <w:highlight w:val="none"/>
              </w:rPr>
              <w:t xml:space="preserve">履约保证金形式：支票、汇票、本票、履约保函（保险）等法律法规允许的非现金形式，具体与采购人商定。</w:t>
            </w:r>
            <w:r/>
          </w:p>
        </w:tc>
      </w:tr>
      <w:tr>
        <w:trPr>
          <w:jc w:val="center"/>
          <w:trHeight w:val="462"/>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pStyle w:val="851"/>
              <w:ind w:left="120" w:right="21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付款方式：</w:t>
            </w:r>
            <w:r/>
          </w:p>
          <w:p>
            <w:pPr>
              <w:jc w:val="both"/>
              <w:spacing w:line="360" w:lineRule="auto"/>
              <w:rPr>
                <w:rFonts w:hint="eastAsia" w:ascii="宋体" w:hAnsi="宋体" w:cs="宋体"/>
                <w:color w:val="auto"/>
                <w:sz w:val="24"/>
                <w:szCs w:val="3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cs="宋体"/>
                <w:color w:val="auto"/>
                <w:sz w:val="24"/>
                <w:szCs w:val="32"/>
                <w:highlight w:val="none"/>
                <w:lang w:val="en-US" w:eastAsia="zh-CN" w:bidi="ar-SA"/>
              </w:rPr>
              <w:t xml:space="preserve">合同签订后，成交供应商按照合同约定时间进场提供服务。管理服务费以每季度开票结算一次。在第二个季度的第一个月的上旬，采购人向成交供应商通报考核情况、测算支付金额。</w:t>
            </w:r>
            <w:r/>
          </w:p>
          <w:p>
            <w:pPr>
              <w:jc w:val="both"/>
              <w:spacing w:line="360" w:lineRule="auto"/>
              <w:rPr>
                <w:rFonts w:ascii="宋体"/>
                <w:color w:val="auto"/>
                <w:highlight w:val="none"/>
              </w:rPr>
            </w:pPr>
            <w:r>
              <w:rPr>
                <w:rFonts w:hint="eastAsia" w:ascii="宋体" w:hAnsi="宋体" w:eastAsia="宋体" w:cs="Times New Roman"/>
                <w:color w:val="auto"/>
                <w:sz w:val="24"/>
                <w:szCs w:val="24"/>
                <w:highlight w:val="none"/>
                <w:lang w:val="en-US" w:eastAsia="zh-CN" w:bidi="ar-SA"/>
              </w:rPr>
              <w:t xml:space="preserve">（2）付款时，</w:t>
            </w:r>
            <w:r>
              <w:rPr>
                <w:rFonts w:hint="eastAsia" w:ascii="宋体" w:hAnsi="宋体" w:cs="宋体"/>
                <w:color w:val="auto"/>
                <w:sz w:val="24"/>
                <w:szCs w:val="32"/>
                <w:highlight w:val="none"/>
                <w:lang w:val="en-US" w:eastAsia="zh-CN" w:bidi="ar-SA"/>
              </w:rPr>
              <w:t xml:space="preserve">成交供应商向采购人提交正式发票。</w:t>
            </w:r>
            <w:r>
              <w:rPr>
                <w:rFonts w:hint="eastAsia" w:ascii="宋体" w:hAnsi="宋体" w:eastAsia="宋体" w:cs="Times New Roman"/>
                <w:color w:val="auto"/>
                <w:sz w:val="24"/>
                <w:szCs w:val="24"/>
                <w:highlight w:val="none"/>
                <w:lang w:val="en-US" w:eastAsia="zh-CN" w:bidi="ar-SA"/>
              </w:rPr>
              <w:t xml:space="preserve">发票上需写明单位名称。</w:t>
            </w:r>
            <w:r/>
          </w:p>
        </w:tc>
      </w:tr>
      <w:tr>
        <w:trPr>
          <w:jc w:val="center"/>
          <w:trHeight w:val="82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行业类别：本项目中小企业划分标准所属行业为：</w:t>
            </w:r>
            <w:r>
              <w:rPr>
                <w:rFonts w:hint="eastAsia" w:ascii="宋体" w:hAnsi="宋体" w:cs="宋体"/>
                <w:b/>
                <w:bCs/>
                <w:color w:val="auto"/>
                <w:sz w:val="24"/>
                <w:highlight w:val="none"/>
                <w:u w:val="single"/>
                <w:lang w:eastAsia="zh-CN"/>
              </w:rPr>
              <w:t xml:space="preserve">餐饮业</w:t>
            </w:r>
            <w:r/>
          </w:p>
          <w:p>
            <w:pPr>
              <w:jc w:val="both"/>
              <w:spacing w:line="480" w:lineRule="exact"/>
              <w:rPr>
                <w:rFonts w:ascii="宋体" w:hAnsi="宋体" w:cs="宋体"/>
                <w:color w:val="auto"/>
                <w:sz w:val="24"/>
                <w:highlight w:val="none"/>
              </w:rPr>
            </w:pPr>
            <w:r>
              <w:rPr>
                <w:rFonts w:hint="eastAsia" w:ascii="宋体" w:hAnsi="宋体" w:cs="宋体"/>
                <w:color w:val="auto"/>
                <w:sz w:val="24"/>
                <w:highlight w:val="none"/>
              </w:rPr>
              <w:t xml:space="preserve">中小企业划分标准参照：工信部联企业〔2011〕300号文件规定。</w:t>
            </w:r>
            <w:r/>
          </w:p>
        </w:tc>
      </w:tr>
      <w:tr>
        <w:trPr>
          <w:jc w:val="center"/>
          <w:trHeight w:val="82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bookmarkStart w:id="19" w:name="_Toc120614214"/>
            <w:r/>
            <w:bookmarkStart w:id="20" w:name="_Toc34087974"/>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招标代理服务费</w:t>
            </w:r>
            <w:r>
              <w:rPr>
                <w:rFonts w:hint="eastAsia" w:ascii="宋体" w:hAnsi="宋体"/>
                <w:b/>
                <w:color w:val="auto"/>
                <w:sz w:val="24"/>
                <w:highlight w:val="none"/>
              </w:rPr>
              <w:t xml:space="preserve">：</w:t>
            </w:r>
            <w:r>
              <w:rPr>
                <w:rFonts w:hint="eastAsia" w:ascii="宋体" w:hAnsi="宋体" w:cs="宋体"/>
                <w:color w:val="auto"/>
                <w:sz w:val="24"/>
                <w:highlight w:val="none"/>
              </w:rPr>
              <w:t xml:space="preserve">本次采购招标代理服务费由成交供应商支付，</w:t>
            </w:r>
            <w:r>
              <w:rPr>
                <w:rFonts w:hint="eastAsia" w:ascii="宋体" w:hAnsi="宋体" w:eastAsia="宋体" w:cs="宋体"/>
                <w:color w:val="auto"/>
                <w:sz w:val="24"/>
                <w:highlight w:val="none"/>
              </w:rPr>
              <w:t xml:space="preserve">招标代理费</w:t>
            </w:r>
            <w:r>
              <w:rPr>
                <w:rFonts w:hint="eastAsia" w:ascii="宋体" w:hAnsi="宋体" w:eastAsia="宋体" w:cs="宋体"/>
                <w:color w:val="auto"/>
                <w:sz w:val="24"/>
                <w:highlight w:val="none"/>
                <w:lang w:val="en-US" w:eastAsia="zh-CN"/>
              </w:rPr>
              <w:t xml:space="preserve">发改价格[2011]534号的</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计取</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成交供应商在领取成交通知书前将上述费用支付给招标代理单位。</w:t>
            </w:r>
            <w:r>
              <w:rPr>
                <w:rFonts w:ascii="宋体" w:hAnsi="宋体" w:cs="宋体"/>
                <w:color w:val="auto"/>
                <w:sz w:val="24"/>
                <w:highlight w:val="none"/>
              </w:rPr>
              <w:t xml:space="preserve">上述费用在报价时不需单独列出，请磋商供应商在投标报价中综合考虑。</w:t>
            </w:r>
            <w:r/>
          </w:p>
        </w:tc>
      </w:tr>
      <w:tr>
        <w:trPr>
          <w:jc w:val="center"/>
          <w:trHeight w:val="82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成交单位</w:t>
            </w:r>
            <w:r>
              <w:rPr>
                <w:rFonts w:hint="eastAsia" w:ascii="宋体" w:hAnsi="宋体" w:cs="宋体"/>
                <w:color w:val="auto"/>
                <w:sz w:val="24"/>
                <w:highlight w:val="none"/>
                <w:lang w:val="en-US" w:eastAsia="zh-CN"/>
              </w:rPr>
              <w:t xml:space="preserve">需</w:t>
            </w:r>
            <w:r>
              <w:rPr>
                <w:rFonts w:hint="eastAsia" w:ascii="宋体" w:hAnsi="宋体" w:cs="宋体"/>
                <w:color w:val="auto"/>
                <w:sz w:val="24"/>
                <w:highlight w:val="none"/>
              </w:rPr>
              <w:t xml:space="preserve">提供纸质版响应文件一正三副及电子响应文件（U盘），送至代理现场或邮寄至</w:t>
            </w:r>
            <w:r>
              <w:rPr>
                <w:rFonts w:hint="eastAsia" w:ascii="宋体" w:hAnsi="宋体" w:eastAsia="宋体" w:cs="宋体"/>
                <w:color w:val="auto"/>
                <w:sz w:val="24"/>
                <w:szCs w:val="24"/>
                <w:highlight w:val="none"/>
                <w:lang w:eastAsia="zh-CN"/>
              </w:rPr>
              <w:t xml:space="preserve">江苏信和工程建设管理房地产评估有限公司</w:t>
            </w:r>
            <w:r>
              <w:rPr>
                <w:rFonts w:hint="eastAsia" w:ascii="宋体" w:hAnsi="宋体" w:cs="宋体"/>
                <w:color w:val="auto"/>
                <w:sz w:val="24"/>
                <w:highlight w:val="none"/>
                <w:lang w:eastAsia="zh-CN"/>
              </w:rPr>
              <w:t xml:space="preserve">。</w:t>
            </w:r>
            <w:bookmarkEnd w:id="7"/>
            <w:r/>
            <w:bookmarkEnd w:id="8"/>
            <w:r/>
            <w:bookmarkEnd w:id="9"/>
            <w:r/>
            <w:r/>
          </w:p>
        </w:tc>
      </w:tr>
    </w:tbl>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一、总则</w:t>
      </w:r>
      <w:bookmarkEnd w:id="19"/>
      <w:r/>
      <w:r/>
    </w:p>
    <w:p>
      <w:pPr>
        <w:ind w:firstLine="78"/>
        <w:keepLines/>
        <w:keepNext/>
        <w:spacing w:line="360" w:lineRule="auto"/>
        <w:rPr>
          <w:rFonts w:ascii="宋体" w:hAnsi="宋体" w:cs="宋体"/>
          <w:color w:val="auto"/>
          <w:sz w:val="24"/>
          <w:highlight w:val="none"/>
        </w:rPr>
      </w:pPr>
      <w:r/>
      <w:bookmarkStart w:id="21" w:name="_Toc16938520"/>
      <w:r/>
      <w:bookmarkEnd w:id="21"/>
      <w:r/>
      <w:bookmarkStart w:id="22" w:name="_Toc513029204"/>
      <w:r/>
      <w:bookmarkEnd w:id="22"/>
      <w:r/>
      <w:bookmarkStart w:id="23" w:name="_Hlt16619475"/>
      <w:r/>
      <w:bookmarkEnd w:id="23"/>
      <w:r/>
      <w:bookmarkStart w:id="24" w:name="_Toc458694821"/>
      <w:r/>
      <w:bookmarkEnd w:id="24"/>
      <w:r/>
      <w:bookmarkStart w:id="25" w:name="_Toc20823276"/>
      <w:r>
        <w:rPr>
          <w:rFonts w:ascii="Arial" w:hAnsi="Arial" w:cs="Arial"/>
          <w:color w:val="auto"/>
          <w:sz w:val="24"/>
          <w:highlight w:val="none"/>
        </w:rPr>
        <w:t xml:space="preserve">1</w:t>
      </w:r>
      <w:bookmarkEnd w:id="25"/>
      <w:r>
        <w:rPr>
          <w:rFonts w:ascii="Arial" w:hAnsi="Arial" w:cs="Arial"/>
          <w:color w:val="auto"/>
          <w:sz w:val="24"/>
          <w:highlight w:val="none"/>
        </w:rPr>
        <w:t xml:space="preserve">、采购方式</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1.1本次政府采购活动采取竞争性磋商(以下简称磋商)方式，本磋商文件仅适用于磋商公告中所述项目。</w:t>
      </w:r>
      <w:r/>
    </w:p>
    <w:p>
      <w:pPr>
        <w:ind w:firstLine="78"/>
        <w:keepLines/>
        <w:keepNext/>
        <w:spacing w:line="360" w:lineRule="auto"/>
        <w:rPr>
          <w:rFonts w:ascii="宋体" w:hAnsi="宋体" w:cs="宋体"/>
          <w:color w:val="auto"/>
          <w:sz w:val="24"/>
          <w:highlight w:val="none"/>
        </w:rPr>
      </w:pPr>
      <w:r/>
      <w:bookmarkStart w:id="26" w:name="_Toc16938521"/>
      <w:r/>
      <w:bookmarkEnd w:id="26"/>
      <w:r/>
      <w:bookmarkStart w:id="27" w:name="_Toc513029205"/>
      <w:r/>
      <w:bookmarkEnd w:id="27"/>
      <w:r/>
      <w:bookmarkStart w:id="28" w:name="_Toc20823277"/>
      <w:r>
        <w:rPr>
          <w:rFonts w:ascii="Arial" w:hAnsi="Arial" w:cs="Arial"/>
          <w:color w:val="auto"/>
          <w:sz w:val="24"/>
          <w:highlight w:val="none"/>
        </w:rPr>
        <w:t xml:space="preserve">2、合格的</w:t>
      </w:r>
      <w:bookmarkEnd w:id="28"/>
      <w:r>
        <w:rPr>
          <w:rFonts w:ascii="Arial" w:hAnsi="Arial" w:cs="Arial"/>
          <w:color w:val="auto"/>
          <w:sz w:val="24"/>
          <w:highlight w:val="none"/>
        </w:rPr>
        <w:t xml:space="preserve">供应商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2.1满足磋商公告中供应商资格要求的规定。</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2.2满足本磋商文件实质性要求和条件的规定。</w:t>
      </w:r>
      <w:r/>
    </w:p>
    <w:p>
      <w:pPr>
        <w:ind w:firstLine="78"/>
        <w:keepLines/>
        <w:keepNext/>
        <w:spacing w:line="360" w:lineRule="auto"/>
        <w:rPr>
          <w:rFonts w:ascii="宋体" w:hAnsi="宋体" w:cs="宋体"/>
          <w:color w:val="auto"/>
          <w:sz w:val="24"/>
          <w:highlight w:val="none"/>
        </w:rPr>
      </w:pPr>
      <w:r/>
      <w:bookmarkStart w:id="29" w:name="_Toc513029206"/>
      <w:r/>
      <w:bookmarkEnd w:id="29"/>
      <w:r/>
      <w:bookmarkStart w:id="30" w:name="_Toc16938522"/>
      <w:r/>
      <w:bookmarkEnd w:id="30"/>
      <w:r/>
      <w:bookmarkStart w:id="31" w:name="_Toc20823278"/>
      <w:r>
        <w:rPr>
          <w:rFonts w:ascii="Arial" w:hAnsi="Arial" w:cs="Arial"/>
          <w:color w:val="auto"/>
          <w:sz w:val="24"/>
          <w:highlight w:val="none"/>
        </w:rPr>
        <w:t xml:space="preserve">3、适用法律</w:t>
      </w:r>
      <w:bookmarkEnd w:id="31"/>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3.1本次磋商及由此产生的合同受中华人民共和国有关的法律法规制约和保护。</w:t>
      </w:r>
      <w:r/>
    </w:p>
    <w:p>
      <w:pPr>
        <w:ind w:firstLine="78"/>
        <w:keepLines/>
        <w:keepNext/>
        <w:spacing w:line="360" w:lineRule="auto"/>
        <w:rPr>
          <w:rFonts w:ascii="宋体" w:hAnsi="宋体" w:cs="宋体"/>
          <w:color w:val="auto"/>
          <w:sz w:val="24"/>
          <w:highlight w:val="none"/>
        </w:rPr>
      </w:pPr>
      <w:r/>
      <w:bookmarkStart w:id="32" w:name="_Toc16938523"/>
      <w:r/>
      <w:bookmarkEnd w:id="32"/>
      <w:r/>
      <w:bookmarkStart w:id="33" w:name="_Toc462564067"/>
      <w:r/>
      <w:bookmarkEnd w:id="33"/>
      <w:r/>
      <w:bookmarkStart w:id="34" w:name="_Toc513029207"/>
      <w:r/>
      <w:bookmarkEnd w:id="34"/>
      <w:r/>
      <w:bookmarkStart w:id="35" w:name="_Toc20823279"/>
      <w:r>
        <w:rPr>
          <w:rFonts w:ascii="Arial" w:hAnsi="Arial" w:cs="Arial"/>
          <w:color w:val="auto"/>
          <w:sz w:val="24"/>
          <w:highlight w:val="none"/>
        </w:rPr>
        <w:t xml:space="preserve">4、磋商费用</w:t>
      </w:r>
      <w:bookmarkEnd w:id="35"/>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84"/>
        <w:keepLines/>
        <w:keepNex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5、</w:t>
      </w:r>
      <w:r>
        <w:rPr>
          <w:rFonts w:hint="eastAsia" w:ascii="宋体" w:hAnsi="宋体" w:cs="宋体"/>
          <w:color w:val="auto"/>
          <w:sz w:val="24"/>
          <w:highlight w:val="none"/>
        </w:rPr>
        <w:t xml:space="preserve">磋商文件的约束力</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5.1供应商一旦参加本项目采购活动，即被认为接受了本磋商文件的规定和约束。</w:t>
      </w:r>
      <w:r/>
    </w:p>
    <w:p>
      <w:pPr>
        <w:jc w:val="left"/>
        <w:spacing w:line="360" w:lineRule="auto"/>
        <w:widowControl/>
        <w:rPr>
          <w:rFonts w:ascii="宋体" w:hAnsi="宋体" w:cs="宋体"/>
          <w:b/>
          <w:bCs/>
          <w:color w:val="auto"/>
          <w:sz w:val="24"/>
          <w:highlight w:val="none"/>
        </w:rPr>
      </w:pPr>
      <w:r/>
      <w:bookmarkStart w:id="36" w:name="_Toc20823281"/>
      <w:r/>
      <w:bookmarkEnd w:id="36"/>
      <w:r/>
      <w:bookmarkStart w:id="37" w:name="_Toc16938525"/>
      <w:r/>
      <w:bookmarkEnd w:id="37"/>
      <w:r/>
      <w:bookmarkStart w:id="38" w:name="_Toc120614215"/>
      <w:r>
        <w:rPr>
          <w:rFonts w:hint="eastAsia" w:ascii="宋体" w:hAnsi="宋体" w:cs="宋体"/>
          <w:b/>
          <w:bCs/>
          <w:color w:val="auto"/>
          <w:sz w:val="24"/>
          <w:highlight w:val="none"/>
        </w:rPr>
        <w:t xml:space="preserve">二、</w:t>
      </w:r>
      <w:bookmarkEnd w:id="38"/>
      <w:r>
        <w:rPr>
          <w:rFonts w:hint="eastAsia" w:ascii="宋体" w:hAnsi="宋体" w:cs="宋体"/>
          <w:b/>
          <w:bCs/>
          <w:color w:val="auto"/>
          <w:sz w:val="24"/>
          <w:highlight w:val="none"/>
        </w:rPr>
        <w:t xml:space="preserve">磋商文件</w:t>
      </w:r>
      <w:r/>
    </w:p>
    <w:p>
      <w:pPr>
        <w:ind w:firstLine="78"/>
        <w:keepLines/>
        <w:keepNext/>
        <w:spacing w:line="360" w:lineRule="auto"/>
        <w:rPr>
          <w:rFonts w:ascii="宋体" w:hAnsi="宋体" w:cs="宋体"/>
          <w:color w:val="auto"/>
          <w:sz w:val="24"/>
          <w:highlight w:val="none"/>
        </w:rPr>
      </w:pPr>
      <w:r/>
      <w:bookmarkStart w:id="39" w:name="_Toc16938526"/>
      <w:r/>
      <w:bookmarkEnd w:id="39"/>
      <w:r/>
      <w:bookmarkStart w:id="40" w:name="_Toc513029210"/>
      <w:r/>
      <w:bookmarkEnd w:id="40"/>
      <w:r/>
      <w:bookmarkStart w:id="41" w:name="_Toc20823282"/>
      <w:r>
        <w:rPr>
          <w:rFonts w:hint="eastAsia" w:ascii="宋体" w:hAnsi="宋体" w:cs="宋体"/>
          <w:b/>
          <w:bCs/>
          <w:color w:val="auto"/>
          <w:sz w:val="24"/>
          <w:highlight w:val="none"/>
        </w:rPr>
        <w:t xml:space="preserve">6、</w:t>
      </w:r>
      <w:r>
        <w:rPr>
          <w:rFonts w:hint="eastAsia" w:ascii="宋体" w:hAnsi="宋体" w:cs="宋体"/>
          <w:color w:val="auto"/>
          <w:sz w:val="24"/>
          <w:highlight w:val="none"/>
        </w:rPr>
        <w:t xml:space="preserve">磋商文件构成</w:t>
      </w:r>
      <w:bookmarkEnd w:id="41"/>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6.1磋商文件由以下部分组成：</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（1）竞争性磋商采购公告</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（2）参加磋商供应商须知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（4）评审方法和评审标准</w:t>
      </w:r>
      <w:r/>
    </w:p>
    <w:p>
      <w:pPr>
        <w:numPr>
          <w:ilvl w:val="0"/>
          <w:numId w:val="6"/>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合同条款及格式</w:t>
      </w:r>
      <w:r/>
    </w:p>
    <w:p>
      <w:pPr>
        <w:numPr>
          <w:ilvl w:val="0"/>
          <w:numId w:val="6"/>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响应文件的组成和格式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请仔细检查磋商文件是否齐全，如有缺漏请立即与采购人或采购代理机构联系解决。</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78"/>
        <w:keepLines/>
        <w:keepNext/>
        <w:spacing w:line="360" w:lineRule="auto"/>
        <w:rPr>
          <w:rFonts w:ascii="宋体" w:hAnsi="宋体" w:cs="宋体"/>
          <w:color w:val="auto"/>
          <w:sz w:val="24"/>
          <w:highlight w:val="none"/>
        </w:rPr>
      </w:pPr>
      <w:r/>
      <w:bookmarkStart w:id="42" w:name="_Toc16938527"/>
      <w:r/>
      <w:bookmarkEnd w:id="42"/>
      <w:r/>
      <w:bookmarkStart w:id="43" w:name="_Toc513029211"/>
      <w:r/>
      <w:bookmarkEnd w:id="43"/>
      <w:r/>
      <w:bookmarkStart w:id="44" w:name="_Toc462564070"/>
      <w:r/>
      <w:bookmarkEnd w:id="44"/>
      <w:r/>
      <w:bookmarkStart w:id="45" w:name="_Toc20823283"/>
      <w:r>
        <w:rPr>
          <w:rFonts w:hint="eastAsia" w:ascii="宋体" w:hAnsi="宋体" w:cs="宋体"/>
          <w:b/>
          <w:bCs/>
          <w:color w:val="auto"/>
          <w:sz w:val="24"/>
          <w:highlight w:val="none"/>
        </w:rPr>
        <w:t xml:space="preserve">7、</w:t>
      </w:r>
      <w:r>
        <w:rPr>
          <w:rFonts w:hint="eastAsia" w:ascii="宋体" w:hAnsi="宋体" w:cs="宋体"/>
          <w:color w:val="auto"/>
          <w:sz w:val="24"/>
          <w:highlight w:val="none"/>
        </w:rPr>
        <w:t xml:space="preserve">磋商文件的澄清</w:t>
      </w:r>
      <w:bookmarkEnd w:id="45"/>
      <w:r/>
      <w:r/>
    </w:p>
    <w:p>
      <w:pPr>
        <w:ind w:firstLine="67"/>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7.1任何要求对磋商文件进行澄清的供应商，应在磋商截止期5日前按磋商公告中的通讯地址，以书面形式通知采购人或采购代理机构。</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p>
    <w:p>
      <w:pPr>
        <w:ind w:firstLine="78"/>
        <w:keepLines/>
        <w:keepNext/>
        <w:spacing w:line="360" w:lineRule="auto"/>
        <w:rPr>
          <w:rFonts w:ascii="宋体" w:hAnsi="宋体" w:cs="宋体"/>
          <w:color w:val="auto"/>
          <w:sz w:val="24"/>
          <w:highlight w:val="none"/>
        </w:rPr>
      </w:pPr>
      <w:r/>
      <w:bookmarkStart w:id="46" w:name="_Toc16938528"/>
      <w:r/>
      <w:bookmarkEnd w:id="46"/>
      <w:r/>
      <w:bookmarkStart w:id="47" w:name="_Toc513029212"/>
      <w:r/>
      <w:bookmarkEnd w:id="47"/>
      <w:r/>
      <w:bookmarkStart w:id="48" w:name="_Toc462564071"/>
      <w:r/>
      <w:bookmarkEnd w:id="48"/>
      <w:r/>
      <w:bookmarkStart w:id="49" w:name="_Toc20823284"/>
      <w:r>
        <w:rPr>
          <w:rFonts w:hint="eastAsia" w:ascii="宋体" w:hAnsi="宋体" w:cs="宋体"/>
          <w:b/>
          <w:bCs/>
          <w:color w:val="auto"/>
          <w:sz w:val="24"/>
          <w:highlight w:val="none"/>
        </w:rPr>
        <w:t xml:space="preserve">8、</w:t>
      </w:r>
      <w:r>
        <w:rPr>
          <w:rFonts w:hint="eastAsia" w:ascii="宋体" w:hAnsi="宋体" w:cs="宋体"/>
          <w:color w:val="auto"/>
          <w:sz w:val="24"/>
          <w:highlight w:val="none"/>
        </w:rPr>
        <w:t xml:space="preserve">磋商文件的澄清和修改</w:t>
      </w:r>
      <w:bookmarkEnd w:id="49"/>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8.1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发布更正公告通知所有获取磋商文件的供应商,更正公告内容将作为磋商文件的组成部分，并对供应商具有约束力。不足5日的，采购人将顺延提交首次响应文件截止时间。</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8.2采购人可以视采购项目的具体情况，组织供应商进行现场考察或召开磋商前答疑会，但不单独或分别组织只有一个供应商参加的现场考察和答疑会。</w:t>
      </w:r>
      <w:r/>
    </w:p>
    <w:p>
      <w:pPr>
        <w:jc w:val="left"/>
        <w:spacing w:line="360" w:lineRule="auto"/>
        <w:widowControl/>
        <w:rPr>
          <w:rFonts w:ascii="宋体" w:hAnsi="宋体" w:cs="宋体"/>
          <w:b/>
          <w:bCs/>
          <w:color w:val="auto"/>
          <w:sz w:val="24"/>
          <w:highlight w:val="none"/>
        </w:rPr>
      </w:pPr>
      <w:r/>
      <w:bookmarkStart w:id="50" w:name="_Toc20823285"/>
      <w:r/>
      <w:bookmarkEnd w:id="50"/>
      <w:r/>
      <w:bookmarkStart w:id="51" w:name="_Toc462564072"/>
      <w:r/>
      <w:bookmarkEnd w:id="51"/>
      <w:r/>
      <w:bookmarkStart w:id="52" w:name="_Toc513029213"/>
      <w:r/>
      <w:bookmarkEnd w:id="52"/>
      <w:r/>
      <w:bookmarkStart w:id="53" w:name="_Toc16938529"/>
      <w:r/>
      <w:bookmarkEnd w:id="53"/>
      <w:r/>
      <w:bookmarkStart w:id="54" w:name="_Toc120614216"/>
      <w:r>
        <w:rPr>
          <w:rFonts w:hint="eastAsia" w:ascii="宋体" w:hAnsi="宋体" w:cs="宋体"/>
          <w:b/>
          <w:bCs/>
          <w:color w:val="auto"/>
          <w:sz w:val="24"/>
          <w:highlight w:val="none"/>
        </w:rPr>
        <w:t xml:space="preserve">三、响应文件的编制</w:t>
      </w:r>
      <w:bookmarkEnd w:id="54"/>
      <w:r/>
      <w:r/>
    </w:p>
    <w:p>
      <w:pPr>
        <w:ind w:firstLine="78"/>
        <w:keepLines/>
        <w:keepNext/>
        <w:spacing w:line="360" w:lineRule="auto"/>
        <w:rPr>
          <w:rFonts w:ascii="宋体" w:hAnsi="宋体" w:cs="宋体"/>
          <w:color w:val="auto"/>
          <w:sz w:val="24"/>
          <w:highlight w:val="none"/>
        </w:rPr>
      </w:pPr>
      <w:r/>
      <w:bookmarkStart w:id="55" w:name="_Toc513029214"/>
      <w:r/>
      <w:bookmarkEnd w:id="55"/>
      <w:r/>
      <w:bookmarkStart w:id="56" w:name="_Toc462564073"/>
      <w:r/>
      <w:bookmarkEnd w:id="56"/>
      <w:r/>
      <w:bookmarkStart w:id="57" w:name="_Toc16938530"/>
      <w:r/>
      <w:bookmarkEnd w:id="57"/>
      <w:r/>
      <w:bookmarkStart w:id="58" w:name="_Toc20823286"/>
      <w:r>
        <w:rPr>
          <w:rFonts w:ascii="Arial" w:hAnsi="Arial" w:cs="Arial"/>
          <w:color w:val="auto"/>
          <w:sz w:val="24"/>
          <w:highlight w:val="none"/>
        </w:rPr>
        <w:t xml:space="preserve">9、响应文件的语言及度量衡单位</w:t>
      </w:r>
      <w:bookmarkEnd w:id="58"/>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9.1供应商提交的响应文件以及供应商与采购人或采购代理机构就有关磋商的所有来往通知、函件和文件均应使用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9.2除技术性能另有规定外，响应文件所使用的度量衡单位，均须采用国家法定计量单位。</w:t>
      </w:r>
      <w:bookmarkStart w:id="59" w:name="_Toc16938531"/>
      <w:r/>
      <w:bookmarkEnd w:id="59"/>
      <w:r/>
      <w:bookmarkStart w:id="60" w:name="_Toc462564074"/>
      <w:r/>
      <w:bookmarkEnd w:id="60"/>
      <w:r/>
      <w:bookmarkStart w:id="61" w:name="_Toc513029215"/>
      <w:r/>
      <w:bookmarkEnd w:id="61"/>
      <w:r/>
      <w:bookmarkStart w:id="62" w:name="_Toc20823287"/>
      <w:r/>
      <w:r/>
    </w:p>
    <w:p>
      <w:pPr>
        <w:ind w:firstLine="67"/>
        <w:spacing w:line="360" w:lineRule="auto"/>
        <w:rPr>
          <w:rFonts w:ascii="Arial" w:hAnsi="Arial" w:cs="Arial"/>
          <w:color w:val="auto"/>
          <w:sz w:val="24"/>
          <w:highlight w:val="none"/>
        </w:rPr>
      </w:pPr>
      <w:r>
        <w:rPr>
          <w:rFonts w:ascii="Arial" w:hAnsi="Arial" w:cs="Arial"/>
          <w:color w:val="auto"/>
          <w:sz w:val="24"/>
          <w:highlight w:val="none"/>
        </w:rPr>
        <w:t xml:space="preserve">10、响应文件构成</w:t>
      </w:r>
      <w:bookmarkEnd w:id="62"/>
      <w:r/>
      <w:r/>
    </w:p>
    <w:p>
      <w:pPr>
        <w:ind w:firstLine="314"/>
        <w:spacing w:line="360" w:lineRule="auto"/>
        <w:rPr>
          <w:rFonts w:ascii="Arial" w:hAnsi="Arial" w:cs="Arial"/>
          <w:color w:val="auto"/>
          <w:sz w:val="24"/>
          <w:highlight w:val="none"/>
        </w:rPr>
      </w:pPr>
      <w:r>
        <w:rPr>
          <w:rFonts w:hint="eastAsia" w:ascii="Arial" w:hAnsi="Arial" w:cs="Arial"/>
          <w:color w:val="auto"/>
          <w:sz w:val="24"/>
          <w:highlight w:val="none"/>
        </w:rPr>
        <w:t xml:space="preserve">供应商应当根据竞争性磋商文件要求编制响应文件，并根据自己的商务能力、技术水平对竞争性磋商采购文件提出的要求和条件逐条标明是否响应。</w:t>
      </w:r>
      <w:r/>
    </w:p>
    <w:p>
      <w:pPr>
        <w:pStyle w:val="85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（1）磋商响应函（格式见附件）</w:t>
      </w:r>
      <w:r/>
    </w:p>
    <w:p>
      <w:pPr>
        <w:pStyle w:val="85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）供应商有效的营业执照（复印件加盖供应商公章）</w:t>
      </w:r>
      <w:r/>
    </w:p>
    <w:p>
      <w:pPr>
        <w:ind w:firstLine="480"/>
        <w:spacing w:line="360" w:lineRule="auto"/>
        <w:tabs>
          <w:tab w:val="left" w:pos="420" w:leader="none"/>
          <w:tab w:val="left" w:pos="1155" w:leader="none"/>
          <w:tab w:val="left" w:pos="1287"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供应商有效的食品经营许可证（复印件加盖供应商公章）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）供应商法定代表人身份证明书</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法定代表人身份证复印件（格式见附件）</w:t>
      </w:r>
      <w:r/>
    </w:p>
    <w:p>
      <w:pPr>
        <w:ind w:firstLine="480"/>
        <w:spacing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）供应商法定代表人授权委托书</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授权代表身份证复印件（格式见附件，法定代表人亲自参加磋商的除外）</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）供应商近</w:t>
      </w: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个月中任意一个月份(不含磋商当月)的财务状况报告（资产负债表和利润表）或由会计师事务所出具的近两年中任意一个年度的审计报告和所附已审财务报告复印件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）供应商近</w:t>
      </w: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个月中任意一个月份(不含磋商当月)的依法缴纳税收的相关材料（提供相关主管部门证明或银行代扣证明）复印件 </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）供应商近</w:t>
      </w: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个月中任意一个月份(不含磋商当月)的依法缴纳社会保障资金的相关材料（提供相关主管部门证明或银行代扣证明）复印件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）参加政府采购活动前三年内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在经营活动中没有重大违法记录（格式见附件）</w:t>
      </w:r>
      <w:r/>
    </w:p>
    <w:p>
      <w:pPr>
        <w:ind w:firstLine="480"/>
        <w:spacing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）具有履行合同所必需的设备和专业技术能力（格式见附件）</w:t>
      </w:r>
      <w:r/>
    </w:p>
    <w:p>
      <w:pPr>
        <w:ind w:firstLine="480"/>
        <w:spacing w:line="360" w:lineRule="auto"/>
        <w:tabs>
          <w:tab w:val="left" w:pos="900" w:leader="none"/>
        </w:tabs>
        <w:rPr>
          <w:rFonts w:hint="default" w:ascii="宋体" w:hAnsi="宋体" w:eastAsia="宋体"/>
          <w:color w:val="auto"/>
          <w:sz w:val="24"/>
          <w:szCs w:val="24"/>
          <w:highlight w:val="none"/>
          <w:lang w:val="en-US" w:eastAsia="zh-CN"/>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w:t>
      </w:r>
      <w:r>
        <w:rPr>
          <w:rFonts w:hint="eastAsia" w:ascii="宋体" w:hAnsi="宋体"/>
          <w:color w:val="auto"/>
          <w:sz w:val="24"/>
          <w:szCs w:val="24"/>
          <w:highlight w:val="none"/>
          <w:lang w:val="en-US" w:eastAsia="zh-CN"/>
        </w:rPr>
        <w:t xml:space="preserve">承诺函</w:t>
      </w:r>
      <w:r>
        <w:rPr>
          <w:rFonts w:hint="eastAsia" w:ascii="宋体" w:hAnsi="宋体"/>
          <w:color w:val="auto"/>
          <w:sz w:val="24"/>
          <w:szCs w:val="24"/>
          <w:highlight w:val="none"/>
        </w:rPr>
        <w:t xml:space="preserve">（格式见附件）</w:t>
      </w:r>
      <w:r/>
    </w:p>
    <w:p>
      <w:pPr>
        <w:pStyle w:val="848"/>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小企业声明函或监狱企业证明文件、或残疾人福利性单位声明函；[监狱企业在响应文件中提供由省级以上监狱管理局、戒毒管理局（含新疆生产建设兵团）出具的属于监狱企业的证明文件。未按采购文件的规定在响应文件中提供监狱企业证明文件的，不符合监狱企业条件。]</w:t>
      </w:r>
      <w:r/>
    </w:p>
    <w:p>
      <w:pPr>
        <w:pStyle w:val="848"/>
        <w:jc w:val="both"/>
        <w:rPr>
          <w:rFonts w:ascii="宋体" w:hAnsi="宋体"/>
          <w:color w:val="auto"/>
          <w:sz w:val="24"/>
          <w:szCs w:val="24"/>
          <w:highlight w:val="none"/>
        </w:rPr>
      </w:pPr>
      <w:r>
        <w:rPr>
          <w:rFonts w:hint="eastAsia" w:ascii="宋体" w:hAnsi="宋体" w:cs="宋体"/>
          <w:color w:val="auto"/>
          <w:sz w:val="24"/>
          <w:szCs w:val="24"/>
          <w:highlight w:val="none"/>
        </w:rPr>
        <w:t xml:space="preserve">如上述资格证明文件第（</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）三项遇有国家相关政策规定可不具备的，必须提供相关政策规定或相关单位出具的有效证明复印件。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13</w:t>
      </w:r>
      <w:r>
        <w:rPr>
          <w:rFonts w:ascii="宋体" w:hAnsi="宋体"/>
          <w:color w:val="auto"/>
          <w:sz w:val="24"/>
          <w:szCs w:val="24"/>
          <w:highlight w:val="none"/>
        </w:rPr>
        <w:t xml:space="preserve">）</w:t>
      </w:r>
      <w:r>
        <w:rPr>
          <w:rFonts w:hint="eastAsia" w:ascii="宋体" w:hAnsi="宋体"/>
          <w:color w:val="auto"/>
          <w:sz w:val="24"/>
          <w:szCs w:val="24"/>
          <w:highlight w:val="none"/>
        </w:rPr>
        <w:t xml:space="preserve">响应报价表</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）分项报价表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）服务响应及偏离表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）商务条款响应及偏离表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s="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17</w:t>
      </w:r>
      <w:r>
        <w:rPr>
          <w:rFonts w:hint="eastAsia" w:ascii="宋体" w:hAnsi="宋体"/>
          <w:color w:val="auto"/>
          <w:sz w:val="24"/>
          <w:szCs w:val="24"/>
          <w:highlight w:val="none"/>
        </w:rPr>
        <w:t xml:space="preserve">）拟投入本项目的主要人员表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）供应商基本情况表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）服务承诺</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项目需求、评分标准中对应的其它所需证明材料（如有自行添加）</w:t>
      </w:r>
      <w:r/>
    </w:p>
    <w:p>
      <w:pPr>
        <w:ind w:firstLine="48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其它（供应商认为有必要提供的声明和文件，如有自拟并自行添加）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10.1 如标书制作工具中格式和内容与“江苏政府采购网”发布的磋商文件不一致，请以“江苏政府采购网”发布的磋商文件为准。</w:t>
      </w:r>
      <w:r/>
    </w:p>
    <w:p>
      <w:pPr>
        <w:ind w:firstLine="78"/>
        <w:keepLines/>
        <w:keepNext/>
        <w:spacing w:line="360" w:lineRule="auto"/>
        <w:rPr>
          <w:rFonts w:ascii="宋体" w:hAnsi="宋体" w:cs="宋体"/>
          <w:color w:val="auto"/>
          <w:sz w:val="24"/>
          <w:highlight w:val="none"/>
        </w:rPr>
      </w:pPr>
      <w:r/>
      <w:bookmarkStart w:id="63" w:name="_Toc14577355"/>
      <w:r/>
      <w:bookmarkEnd w:id="63"/>
      <w:r/>
      <w:bookmarkStart w:id="64" w:name="_Toc49090508"/>
      <w:r/>
      <w:bookmarkEnd w:id="64"/>
      <w:r/>
      <w:bookmarkStart w:id="65" w:name="_Hlt26668975"/>
      <w:r/>
      <w:bookmarkEnd w:id="65"/>
      <w:r/>
      <w:bookmarkStart w:id="66" w:name="_Hlt26954838"/>
      <w:r/>
      <w:bookmarkEnd w:id="66"/>
      <w:r/>
      <w:bookmarkStart w:id="67" w:name="_Toc513029219"/>
      <w:r/>
      <w:bookmarkEnd w:id="67"/>
      <w:r/>
      <w:bookmarkStart w:id="68" w:name="_Toc513029216"/>
      <w:r/>
      <w:bookmarkEnd w:id="68"/>
      <w:r/>
      <w:bookmarkStart w:id="69" w:name="_Toc14577357"/>
      <w:r/>
      <w:bookmarkEnd w:id="69"/>
      <w:r/>
      <w:bookmarkStart w:id="70" w:name="_Toc49090509"/>
      <w:r/>
      <w:bookmarkEnd w:id="70"/>
      <w:r/>
      <w:bookmarkStart w:id="71" w:name="_Toc14577354"/>
      <w:r/>
      <w:bookmarkEnd w:id="71"/>
      <w:r/>
      <w:bookmarkStart w:id="72" w:name="_Hlt26670360"/>
      <w:r/>
      <w:bookmarkEnd w:id="72"/>
      <w:r/>
      <w:bookmarkStart w:id="73" w:name="_Toc49090507"/>
      <w:r>
        <w:rPr>
          <w:rFonts w:hint="eastAsia" w:ascii="宋体" w:hAnsi="宋体" w:cs="宋体"/>
          <w:b/>
          <w:bCs/>
          <w:color w:val="auto"/>
          <w:sz w:val="24"/>
          <w:highlight w:val="none"/>
        </w:rPr>
        <w:t xml:space="preserve">11、</w:t>
      </w:r>
      <w:r>
        <w:rPr>
          <w:rFonts w:hint="eastAsia" w:ascii="宋体" w:hAnsi="宋体" w:cs="宋体"/>
          <w:color w:val="auto"/>
          <w:sz w:val="24"/>
          <w:highlight w:val="none"/>
        </w:rPr>
        <w:t xml:space="preserve">证明磋商响应标的符合磋商文件规定的文件</w:t>
      </w:r>
      <w:bookmarkEnd w:id="73"/>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11.1供应商应按照磋商文件要求提交证明文件，证明其及磋商响应标的符合磋商文件规定。</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11.2磋商文件对证明文件无明确形式要求的，证明文件可以以文字资料、图纸和数据等形式提交。</w:t>
      </w:r>
      <w:r/>
    </w:p>
    <w:p>
      <w:pPr>
        <w:ind w:firstLine="78"/>
        <w:keepLines/>
        <w:keepNext/>
        <w:spacing w:line="360" w:lineRule="auto"/>
        <w:rPr>
          <w:rFonts w:ascii="宋体" w:hAnsi="宋体" w:cs="宋体"/>
          <w:color w:val="auto"/>
          <w:sz w:val="24"/>
          <w:highlight w:val="none"/>
        </w:rPr>
      </w:pPr>
      <w:r>
        <w:rPr>
          <w:rFonts w:ascii="Arial" w:hAnsi="Arial" w:cs="Arial"/>
          <w:color w:val="auto"/>
          <w:sz w:val="24"/>
          <w:highlight w:val="none"/>
        </w:rPr>
        <w:t xml:space="preserve">12、分项报价表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12.1供应商应按照磋商文件规定格式填报分项报价表。</w:t>
      </w:r>
      <w:r>
        <w:rPr>
          <w:rFonts w:hint="eastAsia" w:ascii="宋体" w:hAnsi="宋体"/>
          <w:bCs/>
          <w:color w:val="auto"/>
          <w:sz w:val="24"/>
          <w:szCs w:val="24"/>
          <w:highlight w:val="none"/>
        </w:rPr>
        <w:t xml:space="preserve">本项目采用固定总价包干制，供应商报价须为全包价，供应商报价应包含为实施本项目所需的一切</w:t>
      </w:r>
      <w:r>
        <w:rPr>
          <w:rFonts w:hint="eastAsia" w:ascii="宋体" w:hAnsi="宋体"/>
          <w:color w:val="auto"/>
          <w:sz w:val="24"/>
          <w:szCs w:val="24"/>
          <w:highlight w:val="none"/>
        </w:rPr>
        <w:t xml:space="preserve">含税费用、支付给员工的工资和国家强制缴纳的各种社会保障资金，以及供应商认为需要的其他费用等，</w:t>
      </w:r>
      <w:r>
        <w:rPr>
          <w:rFonts w:hint="eastAsia" w:ascii="宋体" w:hAnsi="宋体"/>
          <w:bCs/>
          <w:color w:val="auto"/>
          <w:sz w:val="24"/>
          <w:szCs w:val="24"/>
          <w:highlight w:val="none"/>
        </w:rPr>
        <w:t xml:space="preserve">固定总价不随通货膨胀的影响而波动。</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12.2磋商货币。响应文件中的单价和总价无特殊规定的采用人民币报价，以元为单位标注。磋商文件中另有规定的按规定执行。</w:t>
      </w:r>
      <w:r/>
    </w:p>
    <w:p>
      <w:pPr>
        <w:ind w:firstLine="78"/>
        <w:keepLines/>
        <w:keepNext/>
        <w:spacing w:line="360" w:lineRule="auto"/>
        <w:rPr>
          <w:rFonts w:ascii="宋体" w:hAnsi="宋体" w:cs="宋体"/>
          <w:color w:val="auto"/>
          <w:sz w:val="24"/>
          <w:highlight w:val="none"/>
        </w:rPr>
      </w:pPr>
      <w:r/>
      <w:bookmarkStart w:id="74" w:name="_Hlt26670482"/>
      <w:r/>
      <w:bookmarkEnd w:id="74"/>
      <w:r/>
      <w:bookmarkStart w:id="75" w:name="_Hlt26954846"/>
      <w:r/>
      <w:bookmarkEnd w:id="75"/>
      <w:r/>
      <w:bookmarkStart w:id="76" w:name="_Hlt26670486"/>
      <w:r/>
      <w:bookmarkEnd w:id="76"/>
      <w:r/>
      <w:bookmarkStart w:id="77" w:name="_Hlt26954731"/>
      <w:r/>
      <w:bookmarkEnd w:id="77"/>
      <w:r/>
      <w:bookmarkStart w:id="78" w:name="_Hlt26954848"/>
      <w:r>
        <w:rPr>
          <w:rFonts w:ascii="Arial" w:hAnsi="Arial" w:cs="Arial"/>
          <w:color w:val="auto"/>
          <w:sz w:val="24"/>
          <w:highlight w:val="none"/>
        </w:rPr>
        <w:t xml:space="preserve">13、技术要求响应及偏离表、商务要求响应及偏离表</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13.1供应商需对磋商文件中的技术要求与商务要求逐项作出响应或偏离，并说明原因。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13.2供应商可在响应文件中提供认为需要的其他技术文件或说明。</w:t>
      </w:r>
      <w:r/>
    </w:p>
    <w:p>
      <w:pPr>
        <w:ind w:firstLine="78"/>
        <w:keepLines/>
        <w:keepNext/>
        <w:spacing w:line="360" w:lineRule="auto"/>
        <w:rPr>
          <w:rFonts w:ascii="宋体" w:hAnsi="宋体" w:cs="宋体"/>
          <w:color w:val="auto"/>
          <w:sz w:val="24"/>
          <w:highlight w:val="none"/>
        </w:rPr>
      </w:pPr>
      <w:r>
        <w:rPr>
          <w:rFonts w:ascii="Arial" w:hAnsi="Arial" w:cs="Arial"/>
          <w:color w:val="auto"/>
          <w:sz w:val="24"/>
          <w:highlight w:val="none"/>
        </w:rPr>
        <w:t xml:space="preserve">14、</w:t>
      </w:r>
      <w:r>
        <w:rPr>
          <w:rFonts w:hint="eastAsia" w:ascii="Arial" w:hAnsi="Arial" w:cs="Arial"/>
          <w:color w:val="auto"/>
          <w:sz w:val="24"/>
          <w:highlight w:val="none"/>
        </w:rPr>
        <w:t xml:space="preserve">技术方案</w:t>
      </w:r>
      <w:r>
        <w:rPr>
          <w:rFonts w:ascii="Arial" w:hAnsi="Arial" w:cs="Arial"/>
          <w:color w:val="auto"/>
          <w:sz w:val="24"/>
          <w:highlight w:val="none"/>
        </w:rPr>
        <w:t xml:space="preserve">及其他</w:t>
      </w:r>
      <w:r>
        <w:rPr>
          <w:rFonts w:hint="eastAsia" w:ascii="Arial" w:hAnsi="Arial" w:cs="Arial"/>
          <w:color w:val="auto"/>
          <w:sz w:val="24"/>
          <w:highlight w:val="none"/>
        </w:rPr>
        <w:t xml:space="preserve">（如有）</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14.1供应商需根据磋商文件要求提供磋商响应标的的主要</w:t>
      </w:r>
      <w:r>
        <w:rPr>
          <w:rFonts w:hint="eastAsia" w:ascii="Arial" w:hAnsi="Arial" w:cs="Arial"/>
          <w:color w:val="auto"/>
          <w:sz w:val="24"/>
          <w:highlight w:val="none"/>
        </w:rPr>
        <w:t xml:space="preserve">技术方案（如有）。</w:t>
      </w:r>
      <w:bookmarkEnd w:id="78"/>
      <w:r/>
      <w:r/>
    </w:p>
    <w:p>
      <w:pPr>
        <w:ind w:firstLine="78"/>
        <w:keepLines/>
        <w:keepNext/>
        <w:spacing w:line="360" w:lineRule="auto"/>
        <w:rPr>
          <w:rFonts w:ascii="宋体" w:hAnsi="宋体" w:cs="宋体"/>
          <w:color w:val="auto"/>
          <w:sz w:val="24"/>
          <w:highlight w:val="none"/>
        </w:rPr>
      </w:pPr>
      <w:r/>
      <w:bookmarkStart w:id="79" w:name="_Toc14577359"/>
      <w:r/>
      <w:bookmarkEnd w:id="79"/>
      <w:r/>
      <w:bookmarkStart w:id="80" w:name="_Toc49090510"/>
      <w:r>
        <w:rPr>
          <w:rFonts w:ascii="Arial" w:hAnsi="Arial" w:cs="Arial"/>
          <w:color w:val="auto"/>
          <w:sz w:val="24"/>
          <w:highlight w:val="none"/>
        </w:rPr>
        <w:t xml:space="preserve">15、磋商响应函</w:t>
      </w:r>
      <w:bookmarkEnd w:id="80"/>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15.1供应商应按照磋商文件中提供的格式完整、正确填写磋商响应函。</w:t>
      </w:r>
      <w:r/>
    </w:p>
    <w:p>
      <w:pPr>
        <w:ind w:firstLine="78"/>
        <w:keepLines/>
        <w:keepNext/>
        <w:spacing w:line="360" w:lineRule="auto"/>
        <w:rPr>
          <w:rFonts w:ascii="宋体" w:hAnsi="宋体" w:cs="宋体"/>
          <w:color w:val="auto"/>
          <w:sz w:val="24"/>
          <w:highlight w:val="none"/>
        </w:rPr>
      </w:pPr>
      <w:r/>
      <w:bookmarkStart w:id="81" w:name="_Toc14577360"/>
      <w:r/>
      <w:bookmarkEnd w:id="81"/>
      <w:r/>
      <w:bookmarkStart w:id="82" w:name="_Toc49090511"/>
      <w:r>
        <w:rPr>
          <w:rFonts w:ascii="Arial" w:hAnsi="Arial" w:cs="Arial"/>
          <w:color w:val="auto"/>
          <w:sz w:val="24"/>
          <w:highlight w:val="none"/>
        </w:rPr>
        <w:t xml:space="preserve">16、磋商有效期</w:t>
      </w:r>
      <w:bookmarkEnd w:id="82"/>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16.1磋商有效期为提交响应文件截止之日后</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）天。磋商有效期比规定短的将被视为非实质性响应磋商文件而予以拒绝。</w:t>
      </w:r>
      <w:r/>
    </w:p>
    <w:p>
      <w:pPr>
        <w:ind w:firstLine="78"/>
        <w:keepLines/>
        <w:keepNext/>
        <w:spacing w:line="360" w:lineRule="auto"/>
        <w:rPr>
          <w:rFonts w:ascii="宋体" w:hAnsi="宋体" w:cs="宋体"/>
          <w:color w:val="auto"/>
          <w:sz w:val="24"/>
          <w:highlight w:val="none"/>
        </w:rPr>
      </w:pPr>
      <w:r>
        <w:rPr>
          <w:rFonts w:ascii="Arial" w:hAnsi="Arial" w:cs="Arial"/>
          <w:color w:val="auto"/>
          <w:sz w:val="24"/>
          <w:highlight w:val="none"/>
        </w:rPr>
        <w:t xml:space="preserve">17、磋商有效期的延长</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jc w:val="left"/>
        <w:spacing w:line="360" w:lineRule="auto"/>
        <w:widowControl/>
        <w:rPr>
          <w:rFonts w:ascii="宋体" w:hAnsi="宋体" w:cs="宋体"/>
          <w:b/>
          <w:bCs/>
          <w:color w:val="auto"/>
          <w:sz w:val="24"/>
          <w:highlight w:val="none"/>
        </w:rPr>
      </w:pPr>
      <w:r/>
      <w:bookmarkStart w:id="83" w:name="_Toc513029224"/>
      <w:r/>
      <w:bookmarkEnd w:id="83"/>
      <w:r/>
      <w:bookmarkStart w:id="84" w:name="_Hlt26954852"/>
      <w:r/>
      <w:bookmarkEnd w:id="84"/>
      <w:r/>
      <w:bookmarkStart w:id="85" w:name="_Toc16938540"/>
      <w:r/>
      <w:bookmarkEnd w:id="85"/>
      <w:r/>
      <w:bookmarkStart w:id="86" w:name="_Hlt26954739"/>
      <w:r/>
      <w:bookmarkEnd w:id="86"/>
      <w:r/>
      <w:bookmarkStart w:id="87" w:name="_Toc20823296"/>
      <w:r/>
      <w:bookmarkEnd w:id="87"/>
      <w:r/>
      <w:bookmarkStart w:id="88" w:name="_Toc120614217"/>
      <w:r>
        <w:rPr>
          <w:rFonts w:hint="eastAsia" w:ascii="宋体" w:hAnsi="宋体" w:cs="宋体"/>
          <w:b/>
          <w:bCs/>
          <w:color w:val="auto"/>
          <w:sz w:val="24"/>
          <w:highlight w:val="none"/>
        </w:rPr>
        <w:t xml:space="preserve">四、响应文件的递交</w:t>
      </w:r>
      <w:bookmarkEnd w:id="88"/>
      <w:r/>
      <w:r/>
    </w:p>
    <w:p>
      <w:pPr>
        <w:ind w:firstLine="78"/>
        <w:keepLines/>
        <w:keepNext/>
        <w:spacing w:line="360" w:lineRule="auto"/>
        <w:rPr>
          <w:rFonts w:ascii="宋体" w:hAnsi="宋体" w:cs="宋体"/>
          <w:color w:val="auto"/>
          <w:sz w:val="24"/>
          <w:highlight w:val="none"/>
        </w:rPr>
      </w:pPr>
      <w:r/>
      <w:bookmarkStart w:id="89" w:name="_Toc462564084"/>
      <w:r/>
      <w:bookmarkEnd w:id="89"/>
      <w:r/>
      <w:bookmarkStart w:id="90" w:name="_Toc16938541"/>
      <w:r/>
      <w:bookmarkEnd w:id="90"/>
      <w:r/>
      <w:bookmarkStart w:id="91" w:name="_Toc513029225"/>
      <w:r/>
      <w:bookmarkEnd w:id="91"/>
      <w:r/>
      <w:bookmarkStart w:id="92" w:name="_Toc20823297"/>
      <w:r>
        <w:rPr>
          <w:rFonts w:ascii="Arial" w:hAnsi="Arial" w:cs="Arial"/>
          <w:color w:val="auto"/>
          <w:sz w:val="24"/>
          <w:highlight w:val="none"/>
        </w:rPr>
        <w:t xml:space="preserve">18、电子</w:t>
      </w:r>
      <w:r>
        <w:rPr>
          <w:rFonts w:hint="eastAsia" w:ascii="宋体" w:hAnsi="宋体" w:cs="宋体"/>
          <w:color w:val="auto"/>
          <w:sz w:val="24"/>
          <w:highlight w:val="none"/>
        </w:rPr>
        <w:t xml:space="preserve">磋商</w:t>
      </w:r>
      <w:bookmarkEnd w:id="92"/>
      <w:r>
        <w:rPr>
          <w:rFonts w:hint="eastAsia" w:ascii="宋体" w:hAnsi="宋体" w:cs="宋体"/>
          <w:color w:val="auto"/>
          <w:sz w:val="24"/>
          <w:highlight w:val="none"/>
        </w:rPr>
        <w:t xml:space="preserve">响应文件的递交</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18.1供应商应当按照《操作手册》规定，在提交响应文件截止时间前制作并上传电子响应文件。</w:t>
      </w:r>
      <w:bookmarkStart w:id="93" w:name="_Toc20823298"/>
      <w:r/>
      <w:bookmarkEnd w:id="93"/>
      <w:r/>
      <w:bookmarkStart w:id="94" w:name="_Toc513029226"/>
      <w:r/>
      <w:bookmarkEnd w:id="94"/>
      <w:r/>
      <w:bookmarkStart w:id="95" w:name="_Toc16938542"/>
      <w:r/>
      <w:bookmarkEnd w:id="95"/>
      <w:r/>
      <w:r/>
    </w:p>
    <w:p>
      <w:pPr>
        <w:ind w:firstLine="67"/>
        <w:spacing w:line="360" w:lineRule="auto"/>
        <w:rPr>
          <w:rFonts w:ascii="宋体" w:hAnsi="宋体" w:cs="宋体"/>
          <w:color w:val="auto"/>
          <w:sz w:val="24"/>
          <w:highlight w:val="none"/>
        </w:rPr>
      </w:pPr>
      <w:r>
        <w:rPr>
          <w:rFonts w:ascii="Arial" w:hAnsi="Arial" w:cs="Arial"/>
          <w:color w:val="auto"/>
          <w:sz w:val="24"/>
          <w:highlight w:val="none"/>
        </w:rPr>
        <w:t xml:space="preserve">19、提交响应文件截止时间</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19.1</w:t>
      </w:r>
      <w:r>
        <w:rPr>
          <w:rFonts w:hint="eastAsia" w:ascii="宋体" w:hAnsi="宋体" w:cs="宋体"/>
          <w:color w:val="auto"/>
          <w:sz w:val="24"/>
          <w:highlight w:val="none"/>
          <w:u w:val="single"/>
        </w:rPr>
        <w:t xml:space="preserve">供应商上传电子响应文件的时间不得迟于磋商公告中规定的提交响应文件截止时间。</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19.2采购人可以按照规定，通过修改磋商文件酌情延长提交响应文件截止日期，在此情况下，供应商的所有权利和义务以及供应商受制的截止日期均应以延长后新的截止日期为准。</w:t>
      </w:r>
      <w:r/>
    </w:p>
    <w:p>
      <w:pPr>
        <w:ind w:firstLine="78"/>
        <w:keepLines/>
        <w:keepNext/>
        <w:spacing w:line="360" w:lineRule="auto"/>
        <w:rPr>
          <w:rFonts w:ascii="宋体" w:hAnsi="宋体" w:cs="宋体"/>
          <w:color w:val="auto"/>
          <w:sz w:val="24"/>
          <w:highlight w:val="none"/>
        </w:rPr>
      </w:pPr>
      <w:r/>
      <w:bookmarkStart w:id="96" w:name="_Toc513029227"/>
      <w:r/>
      <w:bookmarkEnd w:id="96"/>
      <w:r/>
      <w:bookmarkStart w:id="97" w:name="_Toc16938543"/>
      <w:r/>
      <w:bookmarkEnd w:id="97"/>
      <w:r/>
      <w:bookmarkStart w:id="98" w:name="_Toc20823299"/>
      <w:r>
        <w:rPr>
          <w:rFonts w:ascii="Arial" w:hAnsi="Arial" w:cs="Arial"/>
          <w:color w:val="auto"/>
          <w:sz w:val="24"/>
          <w:highlight w:val="none"/>
        </w:rPr>
        <w:t xml:space="preserve">20、响应文件</w:t>
      </w:r>
      <w:bookmarkEnd w:id="98"/>
      <w:r>
        <w:rPr>
          <w:rFonts w:ascii="Arial" w:hAnsi="Arial" w:cs="Arial"/>
          <w:color w:val="auto"/>
          <w:sz w:val="24"/>
          <w:highlight w:val="none"/>
        </w:rPr>
        <w:t xml:space="preserve">的拒收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20.1采购人拒绝接收在其规定的提交响应文件截止时间后上传的任何电子响应文件。</w:t>
      </w:r>
      <w:r/>
    </w:p>
    <w:p>
      <w:pPr>
        <w:ind w:firstLine="78"/>
        <w:keepLines/>
        <w:keepNext/>
        <w:spacing w:line="360" w:lineRule="auto"/>
        <w:rPr>
          <w:rFonts w:ascii="宋体" w:hAnsi="宋体" w:cs="宋体"/>
          <w:color w:val="auto"/>
          <w:sz w:val="24"/>
          <w:highlight w:val="none"/>
        </w:rPr>
      </w:pPr>
      <w:r/>
      <w:bookmarkStart w:id="99" w:name="_Toc16938544"/>
      <w:r/>
      <w:bookmarkEnd w:id="99"/>
      <w:r/>
      <w:bookmarkStart w:id="100" w:name="_Toc513029228"/>
      <w:r/>
      <w:bookmarkEnd w:id="100"/>
      <w:r/>
      <w:bookmarkStart w:id="101" w:name="_Toc20823300"/>
      <w:r>
        <w:rPr>
          <w:rFonts w:ascii="Arial" w:hAnsi="Arial" w:cs="Arial"/>
          <w:color w:val="auto"/>
          <w:sz w:val="24"/>
          <w:highlight w:val="none"/>
        </w:rPr>
        <w:t xml:space="preserve">21、响应文件的撤回和修改</w:t>
      </w:r>
      <w:bookmarkEnd w:id="101"/>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21.1响应文件的撤回</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 电子响应文件的撤回</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供应商可在提交响应文件截止时间前，撤回其电子响应文件，具体操作方法见《操作手册》。</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21.1.2供应商撤回电子响应文件，则认为其不再参与本项目磋商活动。</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21.2响应文件的修改</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供应商可在提交响应文件截止时间前，对其电子响应文件进行修改，具体操作方法见《操作手册》。</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21.3在提交响应文件截止时间之后，供应商不得对其电子响应文件作任何修改。</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21.4在提交响应文件截止时间至磋商文件中规定的磋商有效期满之间的这段时间内，供应商不得撤回其响应文件。</w:t>
      </w:r>
      <w:r/>
    </w:p>
    <w:p>
      <w:pPr>
        <w:jc w:val="left"/>
        <w:spacing w:line="360" w:lineRule="auto"/>
        <w:widowControl/>
        <w:rPr>
          <w:rFonts w:ascii="宋体" w:hAnsi="宋体" w:cs="宋体"/>
          <w:b/>
          <w:bCs/>
          <w:color w:val="auto"/>
          <w:sz w:val="24"/>
          <w:highlight w:val="none"/>
        </w:rPr>
      </w:pPr>
      <w:r/>
      <w:bookmarkStart w:id="102" w:name="_Toc513029229"/>
      <w:r/>
      <w:bookmarkEnd w:id="102"/>
      <w:r/>
      <w:bookmarkStart w:id="103" w:name="_Toc16938545"/>
      <w:r/>
      <w:bookmarkEnd w:id="103"/>
      <w:r/>
      <w:bookmarkStart w:id="104" w:name="_Toc20823301"/>
      <w:r/>
      <w:bookmarkEnd w:id="104"/>
      <w:r/>
      <w:bookmarkStart w:id="105" w:name="_Toc120614218"/>
      <w:r>
        <w:rPr>
          <w:rFonts w:hint="eastAsia" w:ascii="宋体" w:hAnsi="宋体" w:cs="宋体"/>
          <w:b/>
          <w:bCs/>
          <w:color w:val="auto"/>
          <w:sz w:val="24"/>
          <w:highlight w:val="none"/>
        </w:rPr>
        <w:t xml:space="preserve">五、响应文件的解密与评审</w:t>
      </w:r>
      <w:bookmarkEnd w:id="105"/>
      <w:r/>
      <w:r/>
    </w:p>
    <w:p>
      <w:pPr>
        <w:ind w:firstLine="78"/>
        <w:keepLines/>
        <w:keepNext/>
        <w:spacing w:line="360" w:lineRule="auto"/>
        <w:rPr>
          <w:rFonts w:ascii="宋体" w:hAnsi="宋体" w:cs="宋体"/>
          <w:color w:val="auto"/>
          <w:sz w:val="24"/>
          <w:highlight w:val="none"/>
        </w:rPr>
      </w:pPr>
      <w:r/>
      <w:bookmarkStart w:id="106" w:name="_Toc513029230"/>
      <w:r/>
      <w:bookmarkEnd w:id="106"/>
      <w:r/>
      <w:bookmarkStart w:id="107" w:name="_Toc16938546"/>
      <w:r/>
      <w:bookmarkEnd w:id="107"/>
      <w:r/>
      <w:bookmarkStart w:id="108" w:name="_Toc20823302"/>
      <w:r>
        <w:rPr>
          <w:rFonts w:hint="eastAsia" w:ascii="宋体" w:hAnsi="宋体" w:cs="宋体"/>
          <w:b/>
          <w:bCs/>
          <w:color w:val="auto"/>
          <w:sz w:val="24"/>
          <w:highlight w:val="none"/>
        </w:rPr>
        <w:t xml:space="preserve">22、</w:t>
      </w:r>
      <w:bookmarkEnd w:id="108"/>
      <w:r>
        <w:rPr>
          <w:rFonts w:hint="eastAsia" w:ascii="宋体" w:hAnsi="宋体" w:cs="宋体"/>
          <w:color w:val="auto"/>
          <w:sz w:val="24"/>
          <w:highlight w:val="none"/>
        </w:rPr>
        <w:t xml:space="preserve">响应文件解密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22.1供应商应当按照《操作手册》规定，在苏采云系统规定的时间内对磋商响应文件进行解密。</w:t>
      </w:r>
      <w:r/>
    </w:p>
    <w:p>
      <w:pPr>
        <w:ind w:firstLine="78"/>
        <w:keepLines/>
        <w:keepNext/>
        <w:spacing w:line="360" w:lineRule="auto"/>
        <w:rPr>
          <w:rFonts w:ascii="宋体" w:hAnsi="宋体" w:cs="宋体"/>
          <w:color w:val="auto"/>
          <w:sz w:val="24"/>
          <w:highlight w:val="none"/>
        </w:rPr>
      </w:pPr>
      <w:r/>
      <w:bookmarkStart w:id="109" w:name="_Toc513029231"/>
      <w:r/>
      <w:bookmarkEnd w:id="109"/>
      <w:r/>
      <w:bookmarkStart w:id="110" w:name="_Toc16938547"/>
      <w:r/>
      <w:bookmarkEnd w:id="110"/>
      <w:r/>
      <w:bookmarkStart w:id="111" w:name="_Toc20823303"/>
      <w:r>
        <w:rPr>
          <w:rFonts w:hint="eastAsia" w:ascii="宋体" w:hAnsi="宋体" w:cs="宋体"/>
          <w:b/>
          <w:bCs/>
          <w:color w:val="auto"/>
          <w:sz w:val="24"/>
          <w:highlight w:val="none"/>
        </w:rPr>
        <w:t xml:space="preserve">23、</w:t>
      </w:r>
      <w:r>
        <w:rPr>
          <w:rFonts w:hint="eastAsia" w:ascii="宋体" w:hAnsi="宋体" w:cs="宋体"/>
          <w:color w:val="auto"/>
          <w:sz w:val="24"/>
          <w:highlight w:val="none"/>
        </w:rPr>
        <w:t xml:space="preserve">磋商小组</w:t>
      </w:r>
      <w:bookmarkEnd w:id="111"/>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23.1采购人将组织磋商小组对响应文件进行评审。磋商小组由采购人代表和有关技术、经济等方面的专家组成，且人员构成符合政府采购有关规定。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23.2磋商小组独立工作，负责评审所有响应文件并确定成交候选人。</w:t>
      </w:r>
      <w:r/>
    </w:p>
    <w:p>
      <w:pPr>
        <w:ind w:firstLine="78"/>
        <w:keepLines/>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24、评审过程的保密与公正</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24.2在评审过程中，供应商不得以任何行为影响磋商评审过程，否则其响应文件将被作为无效响应文件。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24.3在项目评审期间，采购代理机构将设专门人员与供应商联系。</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24.4采购人和磋商小组不向未成交的供应商解释未成交原因，也不公布评审过程中的相关细节。</w:t>
      </w:r>
      <w:r/>
    </w:p>
    <w:p>
      <w:pPr>
        <w:ind w:firstLine="78"/>
        <w:keepLines/>
        <w:keepNext/>
        <w:spacing w:line="360" w:lineRule="auto"/>
        <w:rPr>
          <w:rFonts w:ascii="宋体" w:hAnsi="宋体" w:cs="宋体"/>
          <w:color w:val="auto"/>
          <w:sz w:val="24"/>
          <w:highlight w:val="none"/>
        </w:rPr>
      </w:pPr>
      <w:r/>
      <w:bookmarkStart w:id="112" w:name="_Toc16938548"/>
      <w:r/>
      <w:bookmarkEnd w:id="112"/>
      <w:r/>
      <w:bookmarkStart w:id="113" w:name="_Toc513029232"/>
      <w:r/>
      <w:bookmarkEnd w:id="113"/>
      <w:r/>
      <w:bookmarkStart w:id="114" w:name="_Toc20823304"/>
      <w:r>
        <w:rPr>
          <w:rFonts w:hint="eastAsia" w:ascii="宋体" w:hAnsi="宋体" w:cs="宋体"/>
          <w:b/>
          <w:bCs/>
          <w:color w:val="auto"/>
          <w:sz w:val="24"/>
          <w:highlight w:val="none"/>
        </w:rPr>
        <w:t xml:space="preserve">25、</w:t>
      </w:r>
      <w:r>
        <w:rPr>
          <w:rFonts w:hint="eastAsia" w:ascii="宋体" w:hAnsi="宋体" w:cs="宋体"/>
          <w:color w:val="auto"/>
          <w:sz w:val="24"/>
          <w:highlight w:val="none"/>
        </w:rPr>
        <w:t xml:space="preserve">评审过程中的澄清</w:t>
      </w:r>
      <w:bookmarkEnd w:id="114"/>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25.3接到磋商小组澄清、说明和更正要求的供应商如未按规定做出澄清、说明和更正，其风险由供应商自行承担。</w:t>
      </w:r>
      <w:r/>
    </w:p>
    <w:p>
      <w:pPr>
        <w:ind w:firstLine="78"/>
        <w:keepLines/>
        <w:keepNext/>
        <w:spacing w:line="360" w:lineRule="auto"/>
        <w:rPr>
          <w:rFonts w:ascii="宋体" w:hAnsi="宋体" w:cs="宋体"/>
          <w:color w:val="auto"/>
          <w:sz w:val="24"/>
          <w:highlight w:val="none"/>
        </w:rPr>
      </w:pPr>
      <w:r/>
      <w:bookmarkStart w:id="115" w:name="_Toc513029233"/>
      <w:r/>
      <w:bookmarkEnd w:id="115"/>
      <w:r/>
      <w:bookmarkStart w:id="116" w:name="_Toc16938549"/>
      <w:r/>
      <w:bookmarkEnd w:id="116"/>
      <w:r/>
      <w:bookmarkStart w:id="117" w:name="_Toc20823305"/>
      <w:r>
        <w:rPr>
          <w:rFonts w:hint="eastAsia" w:ascii="宋体" w:hAnsi="宋体" w:cs="宋体"/>
          <w:b/>
          <w:bCs/>
          <w:color w:val="auto"/>
          <w:sz w:val="24"/>
          <w:highlight w:val="none"/>
        </w:rPr>
        <w:t xml:space="preserve">26、</w:t>
      </w:r>
      <w:r>
        <w:rPr>
          <w:rFonts w:hint="eastAsia" w:ascii="宋体" w:hAnsi="宋体" w:cs="宋体"/>
          <w:color w:val="auto"/>
          <w:sz w:val="24"/>
          <w:highlight w:val="none"/>
        </w:rPr>
        <w:t xml:space="preserve">对响应文件的审</w:t>
      </w:r>
      <w:bookmarkEnd w:id="117"/>
      <w:r>
        <w:rPr>
          <w:rFonts w:hint="eastAsia" w:ascii="宋体" w:hAnsi="宋体" w:cs="宋体"/>
          <w:color w:val="auto"/>
          <w:sz w:val="24"/>
          <w:highlight w:val="none"/>
        </w:rPr>
        <w:t xml:space="preserve">查</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26.1响应文件审查分为资格审查和符合性审查。</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26.1.1资格审查：由磋商小组依据法律法规和磋商文件的规定，对响应文件中的资格证明文件进行审查，以确定供应商是否具备参加磋商的资格。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26.3未实质性响应磋商文件的情形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26.3.1供应商在苏采云系统规定的时间内未成功解密电子响应文件；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26.3.2供应商未按照磋商文件要求上传电子响应文件；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26.3.3同一供应商提交两个（含两个）以上不同的响应文件或者最后报价；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26.3.4供应商不具备磋商文件中规定的资格条件的；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26.3.5供应商被“信用中国”网站（www.creditchina.gov.cn）列入失信被执行人名单、政府采购严重违法失信行为记录名单、重大税收违法失信主体名单。</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26.3.6不符合磋商文件中规定的实质性要求和条件</w:t>
      </w:r>
      <w:r>
        <w:rPr>
          <w:rFonts w:hint="eastAsia" w:ascii="宋体" w:hAnsi="宋体" w:cs="宋体"/>
          <w:color w:val="auto"/>
          <w:sz w:val="24"/>
          <w:highlight w:val="none"/>
          <w:lang w:eastAsia="zh-CN"/>
        </w:rPr>
        <w:t xml:space="preserve">；</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26.3.7</w:t>
      </w:r>
      <w:r>
        <w:rPr>
          <w:rFonts w:hint="eastAsia" w:ascii="宋体" w:hAnsi="宋体" w:cs="宋体"/>
          <w:color w:val="auto"/>
          <w:sz w:val="24"/>
          <w:highlight w:val="none"/>
          <w:lang w:val="zh-CN"/>
        </w:rPr>
        <w:t xml:space="preserve">响应文件未按磋商文件要求加盖电子公章；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26.3.8</w:t>
      </w:r>
      <w:r>
        <w:rPr>
          <w:rFonts w:hint="eastAsia" w:ascii="宋体" w:hAnsi="宋体" w:cs="宋体"/>
          <w:color w:val="auto"/>
          <w:sz w:val="24"/>
          <w:highlight w:val="none"/>
          <w:lang w:val="zh-CN"/>
        </w:rPr>
        <w:t xml:space="preserve">投标总价超出采购项目预算或者最高限价的；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26.3.9</w:t>
      </w:r>
      <w:r>
        <w:rPr>
          <w:rFonts w:hint="eastAsia" w:ascii="宋体" w:hAnsi="宋体" w:cs="宋体"/>
          <w:color w:val="auto"/>
          <w:sz w:val="24"/>
          <w:highlight w:val="none"/>
          <w:lang w:val="zh-CN"/>
        </w:rPr>
        <w:t xml:space="preserve">不同供应商的响应文件由同一单位或者个人编制；</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26.3.10</w:t>
      </w:r>
      <w:r>
        <w:rPr>
          <w:rFonts w:hint="eastAsia" w:ascii="宋体" w:hAnsi="宋体" w:cs="宋体"/>
          <w:color w:val="auto"/>
          <w:sz w:val="24"/>
          <w:highlight w:val="none"/>
          <w:lang w:val="zh-CN"/>
        </w:rPr>
        <w:t xml:space="preserve">不同供应商委托同一单位或者个人办理投标事宜；</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26.3.11</w:t>
      </w:r>
      <w:r>
        <w:rPr>
          <w:rFonts w:hint="eastAsia" w:ascii="宋体" w:hAnsi="宋体" w:cs="宋体"/>
          <w:color w:val="auto"/>
          <w:sz w:val="24"/>
          <w:highlight w:val="none"/>
          <w:lang w:val="zh-CN"/>
        </w:rPr>
        <w:t xml:space="preserve">不同供应商的响应文件载明的项目管理成员为同一人；</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26.3.12</w:t>
      </w:r>
      <w:r>
        <w:rPr>
          <w:rFonts w:hint="eastAsia" w:ascii="宋体" w:hAnsi="宋体" w:cs="宋体"/>
          <w:color w:val="auto"/>
          <w:sz w:val="24"/>
          <w:highlight w:val="none"/>
          <w:lang w:val="zh-CN"/>
        </w:rPr>
        <w:t xml:space="preserve">不同供应商的响应文件异常一致或者投标报价呈规律性差异；</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26.3.13</w:t>
      </w:r>
      <w:r>
        <w:rPr>
          <w:rFonts w:hint="eastAsia" w:ascii="宋体" w:hAnsi="宋体" w:cs="宋体"/>
          <w:color w:val="auto"/>
          <w:sz w:val="24"/>
          <w:highlight w:val="none"/>
          <w:lang w:val="zh-CN"/>
        </w:rPr>
        <w:t xml:space="preserve">不同供应商的法定代表人或委托代理人有夫妻、直系血亲关系的；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26.3.14</w:t>
      </w:r>
      <w:r>
        <w:rPr>
          <w:rFonts w:hint="eastAsia" w:ascii="宋体" w:hAnsi="宋体" w:cs="宋体"/>
          <w:color w:val="auto"/>
          <w:sz w:val="24"/>
          <w:highlight w:val="none"/>
          <w:lang w:val="zh-CN"/>
        </w:rPr>
        <w:t xml:space="preserve">不同供应商的负责人为同一人或者存在控股、管理关系的；</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26.3.15</w:t>
      </w:r>
      <w:r>
        <w:rPr>
          <w:rFonts w:hint="eastAsia" w:ascii="宋体" w:hAnsi="宋体" w:cs="宋体"/>
          <w:color w:val="auto"/>
          <w:sz w:val="24"/>
          <w:highlight w:val="none"/>
          <w:lang w:val="zh-CN"/>
        </w:rPr>
        <w:t xml:space="preserve">磋商小组认为供应商的报价明显低于其他通过符合性审查供应商的报价，有可能影响服务或产品质量或者不能诚信履约的，将通过苏采云系统要求其在合理的时间内提供说明，必要时提交相关证明材料；供应商不能证明其报价合理性的，磋商小组应当将其作为无效响应处理；</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26.3.16</w:t>
      </w:r>
      <w:r>
        <w:rPr>
          <w:rFonts w:hint="eastAsia" w:ascii="宋体" w:hAnsi="宋体" w:cs="宋体"/>
          <w:color w:val="auto"/>
          <w:sz w:val="24"/>
          <w:highlight w:val="none"/>
          <w:lang w:val="zh-CN"/>
        </w:rPr>
        <w:t xml:space="preserve">响应文件含有采购人不能接受的附加条件的；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26.3.17</w:t>
      </w:r>
      <w:r>
        <w:rPr>
          <w:rFonts w:hint="eastAsia" w:ascii="宋体" w:hAnsi="宋体" w:cs="宋体"/>
          <w:color w:val="auto"/>
          <w:sz w:val="24"/>
          <w:highlight w:val="none"/>
          <w:lang w:val="zh-CN"/>
        </w:rPr>
        <w:t xml:space="preserve">不符合法律、法规和磋商文件规定的其他实质性要求的。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26.4未实质性响应磋商文件的响应文件按无效响应处理。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highlight w:val="none"/>
          <w:lang w:val="en-US" w:eastAsia="zh-CN"/>
        </w:rPr>
        <w:t xml:space="preserve">符</w:t>
      </w:r>
      <w:r>
        <w:rPr>
          <w:rFonts w:hint="eastAsia" w:ascii="宋体" w:hAnsi="宋体" w:cs="宋体"/>
          <w:color w:val="auto"/>
          <w:sz w:val="24"/>
          <w:highlight w:val="none"/>
        </w:rPr>
        <w:t xml:space="preserve">合要求的偏离或保留而使其成为实质性响应的文件。</w:t>
      </w:r>
      <w:r/>
    </w:p>
    <w:p>
      <w:pPr>
        <w:ind w:firstLine="67"/>
        <w:spacing w:line="360" w:lineRule="auto"/>
        <w:rPr>
          <w:rFonts w:ascii="宋体" w:hAnsi="宋体" w:cs="宋体"/>
          <w:color w:val="auto"/>
          <w:sz w:val="24"/>
          <w:highlight w:val="none"/>
        </w:rPr>
      </w:pPr>
      <w:r/>
      <w:bookmarkStart w:id="118" w:name="_Toc513029234"/>
      <w:r/>
      <w:bookmarkEnd w:id="118"/>
      <w:r/>
      <w:bookmarkStart w:id="119" w:name="_Toc16938550"/>
      <w:r/>
      <w:bookmarkEnd w:id="119"/>
      <w:r/>
      <w:bookmarkStart w:id="120" w:name="_Toc20823306"/>
      <w:r>
        <w:rPr>
          <w:rFonts w:hint="eastAsia" w:ascii="宋体" w:hAnsi="宋体" w:cs="宋体"/>
          <w:color w:val="auto"/>
          <w:sz w:val="24"/>
          <w:highlight w:val="none"/>
        </w:rPr>
        <w:t xml:space="preserve">26.6供应商在项目评审全过程中应保持通讯畅通，并安排专人与采购代理机构及磋商小组联系。</w:t>
      </w:r>
      <w:bookmarkEnd w:id="120"/>
      <w:r/>
      <w:r/>
    </w:p>
    <w:p>
      <w:pPr>
        <w:ind w:firstLine="78"/>
        <w:keepLines/>
        <w:keepNex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27、</w:t>
      </w:r>
      <w:r>
        <w:rPr>
          <w:rFonts w:hint="eastAsia" w:ascii="宋体" w:hAnsi="宋体" w:cs="宋体"/>
          <w:color w:val="auto"/>
          <w:sz w:val="24"/>
          <w:highlight w:val="none"/>
        </w:rPr>
        <w:t xml:space="preserve">磋商程序及评审方法和评审标准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27.1磋商程序</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27.1.1对于通过资格审查和符合性审查的供应商，磋商小组将集中与单一供应商分别进行磋商。</w:t>
      </w:r>
      <w:r/>
    </w:p>
    <w:p>
      <w:pPr>
        <w:ind w:firstLine="552"/>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552"/>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552"/>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最后报价是供应商响应文件的有效组成部分。符合《政府采购竞争性磋商采购方式</w:t>
      </w:r>
      <w:r>
        <w:rPr>
          <w:rFonts w:hint="eastAsia" w:ascii="宋体" w:hAnsi="宋体" w:cs="宋体"/>
          <w:color w:val="auto"/>
          <w:sz w:val="24"/>
          <w:highlight w:val="none"/>
          <w:lang w:val="en-US" w:eastAsia="zh-CN"/>
        </w:rPr>
        <w:t xml:space="preserve">管</w:t>
      </w:r>
      <w:r>
        <w:rPr>
          <w:rFonts w:hint="eastAsia" w:ascii="宋体" w:hAnsi="宋体" w:cs="宋体"/>
          <w:color w:val="auto"/>
          <w:sz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27.2 评审方法和评审标准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27.2.2评审标准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见本磋商文件第四章规定。</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27.3采购活动终止的情况</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27.3.1因情况变化，不再符合规定的竞争性磋商采购方式适用情形的。</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27.3.2出现影响采购公正的违法、违规行为的。</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27.3.3除本磋商文件第二章第27.1.2条第三款规定的情形外，在采购过程中符合要求的供应商或者最后报价未超过采购预算的供应商不足3家的。</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27.3.4在苏采云系统规定时间内成功解密电子响应文件的供应商不足3家的。</w:t>
      </w:r>
      <w:r/>
    </w:p>
    <w:p>
      <w:pPr>
        <w:jc w:val="left"/>
        <w:spacing w:line="360" w:lineRule="auto"/>
        <w:widowControl/>
        <w:rPr>
          <w:rFonts w:ascii="宋体" w:hAnsi="宋体" w:cs="宋体"/>
          <w:b/>
          <w:bCs/>
          <w:color w:val="auto"/>
          <w:sz w:val="24"/>
          <w:highlight w:val="none"/>
        </w:rPr>
      </w:pPr>
      <w:r/>
      <w:bookmarkStart w:id="121" w:name="_Toc20823307"/>
      <w:r/>
      <w:bookmarkEnd w:id="121"/>
      <w:r/>
      <w:bookmarkStart w:id="122" w:name="_Toc16938551"/>
      <w:r/>
      <w:bookmarkEnd w:id="122"/>
      <w:r/>
      <w:bookmarkStart w:id="123" w:name="_Toc513029235"/>
      <w:r/>
      <w:bookmarkEnd w:id="123"/>
      <w:r/>
      <w:bookmarkStart w:id="124" w:name="_Toc120614219"/>
      <w:r>
        <w:rPr>
          <w:rFonts w:hint="eastAsia" w:ascii="宋体" w:hAnsi="宋体" w:cs="宋体"/>
          <w:b/>
          <w:bCs/>
          <w:color w:val="auto"/>
          <w:sz w:val="24"/>
          <w:highlight w:val="none"/>
        </w:rPr>
        <w:t xml:space="preserve">六、</w:t>
      </w:r>
      <w:bookmarkEnd w:id="124"/>
      <w:r>
        <w:rPr>
          <w:rFonts w:hint="eastAsia" w:ascii="宋体" w:hAnsi="宋体" w:cs="宋体"/>
          <w:b/>
          <w:bCs/>
          <w:color w:val="auto"/>
          <w:sz w:val="24"/>
          <w:highlight w:val="none"/>
        </w:rPr>
        <w:t xml:space="preserve">成交</w:t>
      </w:r>
      <w:r/>
    </w:p>
    <w:p>
      <w:pPr>
        <w:ind w:firstLine="84"/>
        <w:keepLines/>
        <w:keepNext/>
        <w:spacing w:line="360" w:lineRule="auto"/>
        <w:rPr>
          <w:rFonts w:ascii="宋体" w:hAnsi="宋体" w:cs="宋体"/>
          <w:color w:val="auto"/>
          <w:sz w:val="24"/>
          <w:highlight w:val="none"/>
        </w:rPr>
      </w:pPr>
      <w:r/>
      <w:bookmarkStart w:id="125" w:name="_Toc513029238"/>
      <w:r/>
      <w:bookmarkEnd w:id="125"/>
      <w:r/>
      <w:bookmarkStart w:id="126" w:name="_Toc16938554"/>
      <w:r/>
      <w:bookmarkEnd w:id="126"/>
      <w:r/>
      <w:bookmarkStart w:id="127" w:name="_Toc20823310"/>
      <w:r>
        <w:rPr>
          <w:rFonts w:hint="eastAsia" w:ascii="宋体" w:hAnsi="宋体" w:cs="宋体"/>
          <w:b/>
          <w:bCs/>
          <w:color w:val="auto"/>
          <w:sz w:val="24"/>
          <w:highlight w:val="none"/>
        </w:rPr>
        <w:t xml:space="preserve">28、</w:t>
      </w:r>
      <w:bookmarkEnd w:id="127"/>
      <w:r>
        <w:rPr>
          <w:rFonts w:hint="eastAsia" w:ascii="宋体" w:hAnsi="宋体" w:cs="宋体"/>
          <w:color w:val="auto"/>
          <w:sz w:val="24"/>
          <w:highlight w:val="none"/>
        </w:rPr>
        <w:t xml:space="preserve">确定成交单位</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28.1磋商小组根据综合评分情况，按照评审得分由高到低顺序推荐3名成交候选供应商，并编写评审报告。符合本磋商文件第二章第27.1.2条</w:t>
      </w:r>
      <w:r>
        <w:rPr>
          <w:rFonts w:hint="eastAsia" w:ascii="宋体" w:hAnsi="宋体" w:cs="宋体"/>
          <w:color w:val="auto"/>
          <w:sz w:val="24"/>
          <w:highlight w:val="none"/>
          <w:lang w:val="en-US" w:eastAsia="zh-CN"/>
        </w:rPr>
        <w:t xml:space="preserve">规定</w:t>
      </w:r>
      <w:r>
        <w:rPr>
          <w:rFonts w:hint="eastAsia" w:ascii="宋体" w:hAnsi="宋体" w:cs="宋体"/>
          <w:color w:val="auto"/>
          <w:sz w:val="24"/>
          <w:highlight w:val="none"/>
        </w:rPr>
        <w:t xml:space="preserve">情形的，可以推荐2名成交候选供应商。评审得分相同的，按照最后报价由低到高的顺序推荐。评审得分且最后报价相同的，按照技术指标优劣顺序推荐。</w:t>
      </w:r>
      <w:r/>
    </w:p>
    <w:p>
      <w:pPr>
        <w:ind w:firstLine="314"/>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28.2采购人从评审报告提出的成交候选供应商中，按照排序由高到低的原则确定成交供应商。采购人确定成交供应商后，代理机构将在“江苏政府采购网”发布成交结果公告，公告期限为1个工作日。</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28.3若有充分证据证明，成交供应商出现下列情况之一的，一经查实，将被取消成交资格：</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28.3.1提供虚假材料谋取成交的。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28.3.2与评审专家、采购人、其他供应商或者代理机构工作人员恶意串通的。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28.3.3向评审专家、采购人或代理机构工作人员行贿或者提供其他不正当利益的。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28.3.4恶意竞争，最后报价明显低于其自身合理成本且又无法提供证明的。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28.3.5不满足本磋商文件规定的实质性要求，但在评审过程中又未被磋商小组发现的。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28.3.6成交后无正当理由拒不与采购人签订政府采购合同或者未按照磋商文件确定的事项签订政府采购合同的。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28.3.7将政府采购合同转包的。</w:t>
      </w:r>
      <w:r/>
    </w:p>
    <w:p>
      <w:pPr>
        <w:ind w:firstLine="84"/>
        <w:keepLines/>
        <w:keepNext/>
        <w:spacing w:line="360" w:lineRule="auto"/>
        <w:rPr>
          <w:rFonts w:ascii="宋体" w:hAnsi="宋体" w:cs="宋体"/>
          <w:color w:val="auto"/>
          <w:sz w:val="24"/>
          <w:highlight w:val="none"/>
        </w:rPr>
      </w:pPr>
      <w:r/>
      <w:bookmarkStart w:id="128" w:name="_Toc200451960"/>
      <w:r>
        <w:rPr>
          <w:rFonts w:hint="eastAsia" w:ascii="宋体" w:hAnsi="宋体" w:cs="宋体"/>
          <w:color w:val="auto"/>
          <w:sz w:val="24"/>
          <w:highlight w:val="none"/>
        </w:rPr>
        <w:t xml:space="preserve">29、质疑处理</w:t>
      </w:r>
      <w:bookmarkEnd w:id="128"/>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67"/>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67"/>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29.2.1对可以质疑的采购文件提出质疑的，为收到采购文件之日或者采购文件公告期限届满之日。</w:t>
      </w:r>
      <w:r>
        <w:rPr>
          <w:rFonts w:hint="eastAsia" w:ascii="宋体" w:hAnsi="宋体" w:cs="宋体"/>
          <w:color w:val="auto"/>
          <w:sz w:val="24"/>
          <w:highlight w:val="none"/>
        </w:rPr>
        <w:br/>
      </w:r>
      <w:r>
        <w:rPr>
          <w:rFonts w:hint="eastAsia" w:ascii="宋体" w:hAnsi="宋体" w:cs="宋体"/>
          <w:color w:val="auto"/>
          <w:sz w:val="24"/>
          <w:highlight w:val="none"/>
        </w:rPr>
        <w:t xml:space="preserve"> 29.2.2对采购过程提出质疑的，为各采购程序环节结束之日。</w:t>
      </w:r>
      <w:r>
        <w:rPr>
          <w:rFonts w:hint="eastAsia" w:ascii="宋体" w:hAnsi="宋体" w:cs="宋体"/>
          <w:color w:val="auto"/>
          <w:sz w:val="24"/>
          <w:highlight w:val="none"/>
        </w:rPr>
        <w:br/>
      </w:r>
      <w:r>
        <w:rPr>
          <w:rFonts w:hint="eastAsia" w:ascii="宋体" w:hAnsi="宋体" w:cs="宋体"/>
          <w:color w:val="auto"/>
          <w:sz w:val="24"/>
          <w:highlight w:val="none"/>
        </w:rPr>
        <w:t xml:space="preserve"> 29.2.3对成交结果提出质疑的，为成交结果公告期限届满之日。</w:t>
      </w:r>
      <w:r/>
    </w:p>
    <w:p>
      <w:pPr>
        <w:ind w:firstLine="552"/>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552"/>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采购人及代理机构只接收以纸质原件形式送达的质疑,建议供应商尽量通过邮寄方式提交质疑（采购人和代理机构不接受未填写快递运单的快件）。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采购人质疑接收人及联系方式见本磋商文件第一章。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 以下情形的质疑不予受理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29.5.1 内容不符合《政府采购质疑和投诉办法》第十二条规定的质疑。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29.5.2 超出政府采购法定期限的质疑。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29.5.3 以传真、电子邮件等方式递交的非原件形式的质疑。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29.5.4 未参加磋商活动的供应商或在磋商活动中自身权益未受到损害的供应商所提出的质疑。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29.5.5供应商组成联合体参加磋商，联合体中任何一方或多方未按要求签字、盖章、加盖公章的质疑。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84"/>
        <w:keepLines/>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30、成交通知书</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30.2成交通知书将是合同的一个组成部分。对采购人和成交供应商均具有法律效力。</w:t>
      </w:r>
      <w:r>
        <w:rPr>
          <w:rFonts w:hint="eastAsia" w:ascii="宋体" w:hAnsi="宋体" w:cs="宋体"/>
          <w:color w:val="auto"/>
          <w:sz w:val="24"/>
          <w:highlight w:val="none"/>
          <w:lang w:val="en-US" w:eastAsia="zh-CN"/>
        </w:rPr>
        <w:t xml:space="preserve">中标、成交通知书发出后，采购人改变中标、成交结果的，或者中标、成交供应商放弃中标、成交项目的，应当依法承担法律责任。</w:t>
      </w:r>
      <w:r/>
    </w:p>
    <w:p>
      <w:pPr>
        <w:jc w:val="left"/>
        <w:spacing w:line="360" w:lineRule="auto"/>
        <w:widowControl/>
        <w:rPr>
          <w:rFonts w:ascii="宋体" w:hAnsi="宋体" w:cs="宋体"/>
          <w:b/>
          <w:bCs/>
          <w:color w:val="auto"/>
          <w:sz w:val="24"/>
          <w:highlight w:val="none"/>
        </w:rPr>
      </w:pPr>
      <w:r/>
      <w:bookmarkStart w:id="129" w:name="_Toc16938552"/>
      <w:r/>
      <w:bookmarkEnd w:id="129"/>
      <w:r/>
      <w:bookmarkStart w:id="130" w:name="_Toc120614220"/>
      <w:r/>
      <w:bookmarkEnd w:id="130"/>
      <w:r/>
      <w:bookmarkStart w:id="131" w:name="_Toc513029236"/>
      <w:r/>
      <w:bookmarkEnd w:id="131"/>
      <w:r/>
      <w:bookmarkStart w:id="132" w:name="_Toc20823308"/>
      <w:r>
        <w:rPr>
          <w:rFonts w:hint="eastAsia" w:ascii="宋体" w:hAnsi="宋体" w:cs="宋体"/>
          <w:b/>
          <w:bCs/>
          <w:color w:val="auto"/>
          <w:sz w:val="24"/>
          <w:highlight w:val="none"/>
        </w:rPr>
        <w:t xml:space="preserve">七、授予合同</w:t>
      </w:r>
      <w:bookmarkEnd w:id="132"/>
      <w:r/>
      <w:r/>
    </w:p>
    <w:p>
      <w:pPr>
        <w:ind w:firstLine="84"/>
        <w:keepLines/>
        <w:keepNext/>
        <w:spacing w:line="360" w:lineRule="auto"/>
        <w:rPr>
          <w:rFonts w:ascii="宋体" w:hAnsi="宋体" w:cs="宋体"/>
          <w:color w:val="auto"/>
          <w:sz w:val="24"/>
          <w:highlight w:val="none"/>
        </w:rPr>
      </w:pPr>
      <w:r/>
      <w:bookmarkStart w:id="133" w:name="_Toc513029237"/>
      <w:r/>
      <w:bookmarkEnd w:id="133"/>
      <w:r/>
      <w:bookmarkStart w:id="134" w:name="_Toc16938553"/>
      <w:r/>
      <w:bookmarkEnd w:id="134"/>
      <w:r/>
      <w:bookmarkStart w:id="135" w:name="_Toc20823309"/>
      <w:r>
        <w:rPr>
          <w:rFonts w:hint="eastAsia" w:ascii="宋体" w:hAnsi="宋体" w:cs="宋体"/>
          <w:color w:val="auto"/>
          <w:sz w:val="24"/>
          <w:highlight w:val="none"/>
        </w:rPr>
        <w:t xml:space="preserve">31.签订合同</w:t>
      </w:r>
      <w:bookmarkEnd w:id="135"/>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31.l成交供应商应当在成交通知书发出之日起三十日内，按照磋商文件确定的事项与采购人签订政府采购合同。</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31.2磋商文件、成交供应商的响应文件及磋商过程中有关澄清、承诺文件均应作为合同附件。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84"/>
        <w:keepLines/>
        <w:keepNext/>
        <w:spacing w:line="360" w:lineRule="auto"/>
        <w:rPr>
          <w:rFonts w:ascii="宋体" w:hAnsi="宋体" w:cs="宋体"/>
          <w:color w:val="auto"/>
          <w:sz w:val="24"/>
          <w:highlight w:val="none"/>
        </w:rPr>
      </w:pPr>
      <w:r>
        <w:rPr>
          <w:rFonts w:hint="eastAsia" w:ascii="宋体" w:hAnsi="宋体" w:cs="宋体"/>
          <w:color w:val="auto"/>
          <w:sz w:val="24"/>
          <w:highlight w:val="none"/>
        </w:rPr>
        <w:t xml:space="preserve">32、标的物的追加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10%。</w:t>
      </w:r>
      <w:r/>
    </w:p>
    <w:p>
      <w:pPr>
        <w:ind w:firstLine="84"/>
        <w:keepLines/>
        <w:keepNext/>
        <w:spacing w:line="360" w:lineRule="auto"/>
        <w:rPr>
          <w:rFonts w:ascii="宋体" w:hAnsi="宋体" w:cs="宋体"/>
          <w:color w:val="auto"/>
          <w:sz w:val="24"/>
          <w:highlight w:val="none"/>
        </w:rPr>
      </w:pPr>
      <w:r/>
      <w:bookmarkStart w:id="136" w:name="_Toc20823314"/>
      <w:r/>
      <w:bookmarkEnd w:id="136"/>
      <w:r/>
      <w:bookmarkStart w:id="137" w:name="_Toc479757207"/>
      <w:r/>
      <w:bookmarkEnd w:id="137"/>
      <w:r/>
      <w:bookmarkStart w:id="138" w:name="_Toc16938558"/>
      <w:r/>
      <w:bookmarkEnd w:id="138"/>
      <w:r/>
      <w:bookmarkStart w:id="139" w:name="_Toc513029242"/>
      <w:r/>
      <w:bookmarkEnd w:id="139"/>
      <w:r/>
      <w:bookmarkStart w:id="140" w:name="_Toc120614221"/>
      <w:r>
        <w:rPr>
          <w:rFonts w:hint="eastAsia" w:ascii="宋体" w:hAnsi="宋体" w:cs="宋体"/>
          <w:color w:val="auto"/>
          <w:sz w:val="24"/>
          <w:highlight w:val="none"/>
        </w:rPr>
        <w:t xml:space="preserve">33、政府采购履约资金扶持政策</w:t>
      </w:r>
      <w:bookmarkEnd w:id="140"/>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33.1成交供应商可凭政府采购合同办理融资贷款，详情请见江苏政府采购网“政采贷”专栏。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八、政府采购政策功能落实</w:t>
      </w:r>
      <w:r>
        <w:rPr>
          <w:rFonts w:hint="eastAsia" w:ascii="宋体" w:hAnsi="宋体" w:cs="宋体"/>
          <w:b/>
          <w:bCs/>
          <w:color w:val="auto"/>
          <w:sz w:val="24"/>
          <w:highlight w:val="none"/>
        </w:rPr>
        <w:tab/>
      </w:r>
      <w:r/>
    </w:p>
    <w:p>
      <w:pPr>
        <w:ind w:firstLine="240"/>
        <w:jc w:val="left"/>
        <w:spacing w:line="360" w:lineRule="auto"/>
        <w:tabs>
          <w:tab w:val="left" w:pos="900" w:leader="none"/>
        </w:tabs>
        <w:rPr>
          <w:rFonts w:ascii="宋体" w:hAnsi="宋体" w:cs="宋体"/>
          <w:color w:val="auto"/>
          <w:sz w:val="24"/>
          <w:szCs w:val="24"/>
          <w:highlight w:val="none"/>
        </w:rPr>
      </w:pPr>
      <w:r/>
      <w:bookmarkStart w:id="141" w:name="_Toc641"/>
      <w:r>
        <w:rPr>
          <w:rFonts w:ascii="宋体" w:hAnsi="宋体" w:cs="宋体"/>
          <w:color w:val="auto"/>
          <w:sz w:val="24"/>
          <w:szCs w:val="24"/>
          <w:highlight w:val="none"/>
        </w:rPr>
        <w:t xml:space="preserve">1、小微型企业价格扣除</w:t>
      </w:r>
      <w:r>
        <w:rPr>
          <w:rFonts w:ascii="宋体" w:hAnsi="宋体" w:cs="宋体"/>
          <w:color w:val="auto"/>
          <w:sz w:val="24"/>
          <w:szCs w:val="24"/>
          <w:highlight w:val="none"/>
        </w:rPr>
        <w:br/>
      </w:r>
      <w:r>
        <w:rPr>
          <w:rFonts w:ascii="宋体" w:hAnsi="宋体" w:cs="宋体"/>
          <w:color w:val="auto"/>
          <w:sz w:val="24"/>
          <w:szCs w:val="24"/>
          <w:highlight w:val="none"/>
        </w:rPr>
        <w:t xml:space="preserve">（1）本项目对小型和微型企业给予</w:t>
      </w: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%的价格扣除，用扣除后的价格参与评审。</w:t>
      </w:r>
      <w:r>
        <w:rPr>
          <w:rFonts w:ascii="宋体" w:hAnsi="宋体" w:cs="宋体"/>
          <w:color w:val="auto"/>
          <w:sz w:val="24"/>
          <w:szCs w:val="24"/>
          <w:highlight w:val="none"/>
        </w:rPr>
        <w:br/>
      </w:r>
      <w:r>
        <w:rPr>
          <w:rFonts w:ascii="宋体" w:hAnsi="宋体" w:cs="宋体"/>
          <w:color w:val="auto"/>
          <w:sz w:val="24"/>
          <w:szCs w:val="24"/>
          <w:highlight w:val="none"/>
        </w:rPr>
        <w:t xml:space="preserve">（2）供应商需按照采购文件的要求提供相应的《企业声明函》。</w:t>
      </w:r>
      <w:r>
        <w:rPr>
          <w:rFonts w:ascii="宋体" w:hAnsi="宋体" w:cs="宋体"/>
          <w:color w:val="auto"/>
          <w:sz w:val="24"/>
          <w:szCs w:val="24"/>
          <w:highlight w:val="none"/>
        </w:rPr>
        <w:br/>
      </w:r>
      <w:r>
        <w:rPr>
          <w:rFonts w:ascii="宋体" w:hAnsi="宋体" w:cs="宋体"/>
          <w:color w:val="auto"/>
          <w:sz w:val="24"/>
          <w:szCs w:val="24"/>
          <w:highlight w:val="none"/>
        </w:rPr>
        <w:t xml:space="preserve">（3）企业划型标准请参照《关于印发中小企业划型标准规定的通知》（工信部联企业〔2011〕300号）文件规定自行填写。</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2、残疾人福利</w:t>
      </w:r>
      <w:r>
        <w:rPr>
          <w:rFonts w:hint="eastAsia" w:ascii="宋体" w:hAnsi="宋体" w:cs="宋体"/>
          <w:color w:val="auto"/>
          <w:sz w:val="24"/>
          <w:szCs w:val="24"/>
          <w:highlight w:val="none"/>
        </w:rPr>
        <w:t xml:space="preserve">性</w:t>
      </w:r>
      <w:r>
        <w:rPr>
          <w:rFonts w:ascii="宋体" w:hAnsi="宋体" w:cs="宋体"/>
          <w:color w:val="auto"/>
          <w:sz w:val="24"/>
          <w:szCs w:val="24"/>
          <w:highlight w:val="none"/>
        </w:rPr>
        <w:t xml:space="preserve">单位价格扣除</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（1）本项目对残疾人福利性单位视同小型、微型企业，给予</w:t>
      </w: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%的价格扣除，用扣除后的价格参与评审。</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（2）残疾人福利</w:t>
      </w:r>
      <w:r>
        <w:rPr>
          <w:rFonts w:hint="eastAsia" w:ascii="宋体" w:hAnsi="宋体" w:cs="宋体"/>
          <w:color w:val="auto"/>
          <w:sz w:val="24"/>
          <w:szCs w:val="24"/>
          <w:highlight w:val="none"/>
        </w:rPr>
        <w:t xml:space="preserve">性</w:t>
      </w:r>
      <w:r>
        <w:rPr>
          <w:rFonts w:ascii="宋体" w:hAnsi="宋体" w:cs="宋体"/>
          <w:color w:val="auto"/>
          <w:sz w:val="24"/>
          <w:szCs w:val="24"/>
          <w:highlight w:val="none"/>
        </w:rPr>
        <w:t xml:space="preserve">单位需按照采购文件的要求提供《残疾人福利性单位声明函》。</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（3）残疾人福利</w:t>
      </w:r>
      <w:r>
        <w:rPr>
          <w:rFonts w:hint="eastAsia" w:ascii="宋体" w:hAnsi="宋体" w:cs="宋体"/>
          <w:color w:val="auto"/>
          <w:sz w:val="24"/>
          <w:szCs w:val="24"/>
          <w:highlight w:val="none"/>
        </w:rPr>
        <w:t xml:space="preserve">性</w:t>
      </w:r>
      <w:r>
        <w:rPr>
          <w:rFonts w:ascii="宋体" w:hAnsi="宋体" w:cs="宋体"/>
          <w:color w:val="auto"/>
          <w:sz w:val="24"/>
          <w:szCs w:val="24"/>
          <w:highlight w:val="none"/>
        </w:rPr>
        <w:t xml:space="preserve">单位标准请参照《关于促进残疾人就业政府采购政策的通知》（财库〔2017〕141号）。</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3、监狱和戒毒企业价格扣除</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（1）本项目对监狱和戒毒企业（简称监狱企业）视同小型、微型企业，给予</w:t>
      </w:r>
      <w:r>
        <w:rPr>
          <w:rFonts w:hint="eastAsia" w:ascii="宋体" w:hAnsi="宋体" w:cs="宋体"/>
          <w:color w:val="auto"/>
          <w:sz w:val="24"/>
          <w:szCs w:val="24"/>
          <w:highlight w:val="none"/>
        </w:rPr>
        <w:t xml:space="preserve">10</w:t>
      </w:r>
      <w:r>
        <w:rPr>
          <w:rFonts w:ascii="宋体" w:hAnsi="宋体" w:cs="宋体"/>
          <w:color w:val="auto"/>
          <w:sz w:val="24"/>
          <w:szCs w:val="24"/>
          <w:highlight w:val="none"/>
        </w:rPr>
        <w:t xml:space="preserve">%的价格扣除，用扣除后的价格参与评审。</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（3）监狱企业标准请参照《关于政府采购支持监狱企业发展有关问题的通知》（财库〔2014〕68号）。</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4、残疾人福利</w:t>
      </w:r>
      <w:r>
        <w:rPr>
          <w:rFonts w:hint="eastAsia" w:ascii="宋体" w:hAnsi="宋体" w:cs="宋体"/>
          <w:color w:val="auto"/>
          <w:sz w:val="24"/>
          <w:szCs w:val="24"/>
          <w:highlight w:val="none"/>
        </w:rPr>
        <w:t xml:space="preserve">性</w:t>
      </w:r>
      <w:r>
        <w:rPr>
          <w:rFonts w:ascii="宋体" w:hAnsi="宋体" w:cs="宋体"/>
          <w:color w:val="auto"/>
          <w:sz w:val="24"/>
          <w:szCs w:val="24"/>
          <w:highlight w:val="none"/>
        </w:rPr>
        <w:t xml:space="preserve">单位、监狱企业属于小型、微型企业的，不重复享受政策。</w:t>
      </w:r>
      <w:r/>
    </w:p>
    <w:p>
      <w:pPr>
        <w:ind w:firstLine="240"/>
        <w:jc w:val="left"/>
        <w:spacing w:line="360" w:lineRule="auto"/>
        <w:tabs>
          <w:tab w:val="left" w:pos="900" w:leader="none"/>
        </w:tabs>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绿色采购：</w:t>
      </w:r>
      <w:r>
        <w:rPr>
          <w:rFonts w:hint="eastAsia" w:ascii="宋体" w:hAnsi="宋体" w:eastAsia="宋体" w:cs="宋体"/>
          <w:color w:val="auto"/>
          <w:sz w:val="24"/>
          <w:szCs w:val="24"/>
          <w:highlight w:val="none"/>
        </w:rPr>
        <w:t xml:space="preserve">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240"/>
        <w:spacing w:line="360" w:lineRule="auto"/>
        <w:tabs>
          <w:tab w:val="left" w:pos="900" w:leader="none"/>
        </w:tabs>
        <w:rPr>
          <w:rFonts w:hint="eastAsia" w:ascii="宋体" w:hAnsi="宋体" w:cs="宋体"/>
          <w:color w:val="auto"/>
          <w:sz w:val="24"/>
          <w:szCs w:val="32"/>
          <w:highlight w:val="none"/>
        </w:rPr>
      </w:pPr>
      <w:r>
        <w:rPr>
          <w:rFonts w:ascii="宋体" w:hAnsi="宋体" w:cs="宋体"/>
          <w:color w:val="auto"/>
          <w:sz w:val="24"/>
          <w:szCs w:val="32"/>
          <w:highlight w:val="none"/>
        </w:rPr>
        <w:t xml:space="preserve">6</w:t>
      </w:r>
      <w:r>
        <w:rPr>
          <w:rFonts w:hint="eastAsia" w:ascii="宋体" w:hAnsi="宋体" w:cs="宋体"/>
          <w:color w:val="auto"/>
          <w:sz w:val="24"/>
          <w:szCs w:val="32"/>
          <w:highlight w:val="none"/>
        </w:rPr>
        <w:t xml:space="preserve">、若供应商提供的《企业声明函》、《残疾人福利性单位声明函》及监狱企业认定证明等材料为虚假材料，按《</w:t>
      </w:r>
      <w:r>
        <w:rPr>
          <w:rFonts w:hint="eastAsia" w:ascii="宋体" w:hAnsi="宋体" w:cs="宋体"/>
          <w:color w:val="auto"/>
          <w:sz w:val="24"/>
          <w:szCs w:val="32"/>
          <w:highlight w:val="none"/>
          <w:lang w:val="en-US" w:eastAsia="zh-CN"/>
        </w:rPr>
        <w:t xml:space="preserve">中华人民共和国</w:t>
      </w:r>
      <w:r>
        <w:rPr>
          <w:rFonts w:hint="eastAsia" w:ascii="宋体" w:hAnsi="宋体" w:cs="宋体"/>
          <w:color w:val="auto"/>
          <w:sz w:val="24"/>
          <w:szCs w:val="32"/>
          <w:highlight w:val="none"/>
        </w:rPr>
        <w:t xml:space="preserve">政府采购法》相关规定处理并报请政府采购监管部门给予行政处罚。</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备注：本项目专门面向中小企业，不享受价格扣除优惠政策。</w:t>
      </w:r>
      <w:r/>
    </w:p>
    <w:p>
      <w:pPr>
        <w:ind w:firstLine="240"/>
        <w:spacing w:line="360" w:lineRule="auto"/>
        <w:tabs>
          <w:tab w:val="left" w:pos="900" w:leader="none"/>
        </w:tabs>
        <w:rPr>
          <w:rFonts w:hint="eastAsia" w:ascii="宋体" w:hAnsi="宋体" w:cs="宋体"/>
          <w:color w:val="auto"/>
          <w:sz w:val="24"/>
          <w:szCs w:val="32"/>
          <w:highlight w:val="none"/>
        </w:rPr>
      </w:pPr>
      <w:r>
        <w:rPr>
          <w:rFonts w:hint="eastAsia" w:ascii="宋体" w:hAnsi="宋体" w:cs="宋体"/>
          <w:color w:val="auto"/>
          <w:sz w:val="24"/>
          <w:szCs w:val="32"/>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bookmarkEnd w:id="20"/>
      <w:r/>
      <w:bookmarkEnd w:id="141"/>
      <w:r/>
      <w:bookmarkStart w:id="142" w:name="_Hlt16619369"/>
      <w:r/>
      <w:bookmarkEnd w:id="142"/>
      <w:r/>
      <w:bookmarkStart w:id="143" w:name="_Toc22083"/>
      <w:r>
        <w:rPr>
          <w:rFonts w:hint="eastAsia" w:ascii="宋体" w:hAnsi="宋体" w:cs="宋体"/>
          <w:color w:val="auto"/>
          <w:sz w:val="24"/>
          <w:highlight w:val="none"/>
        </w:rPr>
        <w:t xml:space="preserve">         </w:t>
      </w:r>
      <w:r/>
    </w:p>
    <w:p>
      <w:pPr>
        <w:pStyle w:val="1031"/>
        <w:contextualSpacing/>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第三章  项目需求</w:t>
      </w:r>
      <w:bookmarkEnd w:id="143"/>
      <w:r/>
      <w:bookmarkStart w:id="144" w:name="_Toc26554097"/>
      <w:r/>
      <w:bookmarkStart w:id="145" w:name="_Toc61149622"/>
      <w:r/>
      <w:bookmarkStart w:id="146" w:name="_Toc23828480"/>
      <w:r/>
      <w:r/>
    </w:p>
    <w:p>
      <w:pPr>
        <w:spacing w:line="520" w:lineRule="exact"/>
        <w:rPr>
          <w:rFonts w:hint="eastAsia" w:ascii="宋体" w:hAnsi="宋体" w:cs="宋体"/>
          <w:b/>
          <w:bCs/>
          <w:color w:val="auto"/>
          <w:sz w:val="24"/>
          <w:szCs w:val="24"/>
          <w:highlight w:val="none"/>
        </w:rPr>
      </w:pPr>
      <w:r/>
      <w:bookmarkStart w:id="147" w:name="_Toc34087976"/>
      <w:r>
        <w:rPr>
          <w:rFonts w:hint="eastAsia" w:ascii="宋体" w:hAnsi="宋体" w:cs="宋体"/>
          <w:b/>
          <w:bCs/>
          <w:color w:val="auto"/>
          <w:sz w:val="24"/>
          <w:szCs w:val="24"/>
          <w:highlight w:val="none"/>
        </w:rPr>
        <w:t xml:space="preserve">一、食堂内部管理方案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服务范围：</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服务商提供食堂餐饮服务(包括食堂人事、菜肴采购与制作、就餐环境卫生服务等)，其中，每日提供早餐</w:t>
      </w:r>
      <w:r>
        <w:rPr>
          <w:rFonts w:hint="eastAsia" w:ascii="宋体" w:hAnsi="宋体"/>
          <w:bCs/>
          <w:color w:val="auto"/>
          <w:sz w:val="24"/>
          <w:szCs w:val="24"/>
          <w:highlight w:val="none"/>
          <w:lang w:val="en-US" w:eastAsia="zh-CN"/>
        </w:rPr>
        <w:t xml:space="preserve">约</w:t>
      </w:r>
      <w:r>
        <w:rPr>
          <w:rFonts w:hint="eastAsia" w:ascii="宋体" w:hAnsi="宋体"/>
          <w:bCs/>
          <w:color w:val="auto"/>
          <w:sz w:val="24"/>
          <w:szCs w:val="24"/>
          <w:highlight w:val="none"/>
        </w:rPr>
        <w:t xml:space="preserve">60人，午餐</w:t>
      </w:r>
      <w:r>
        <w:rPr>
          <w:rFonts w:hint="eastAsia" w:ascii="宋体" w:hAnsi="宋体"/>
          <w:bCs/>
          <w:color w:val="auto"/>
          <w:sz w:val="24"/>
          <w:szCs w:val="24"/>
          <w:highlight w:val="none"/>
          <w:lang w:val="en-US" w:eastAsia="zh-CN"/>
        </w:rPr>
        <w:t xml:space="preserve">约</w:t>
      </w:r>
      <w:r>
        <w:rPr>
          <w:rFonts w:hint="eastAsia" w:ascii="宋体" w:hAnsi="宋体"/>
          <w:bCs/>
          <w:color w:val="auto"/>
          <w:sz w:val="24"/>
          <w:szCs w:val="24"/>
          <w:highlight w:val="none"/>
        </w:rPr>
        <w:t xml:space="preserve">110人。保障每日菜品不同样，早餐不少于4样，午餐</w:t>
      </w:r>
      <w:r>
        <w:rPr>
          <w:rFonts w:hint="eastAsia" w:ascii="宋体" w:hAnsi="宋体"/>
          <w:bCs/>
          <w:color w:val="auto"/>
          <w:sz w:val="24"/>
          <w:szCs w:val="24"/>
          <w:highlight w:val="none"/>
          <w:lang w:val="en-US" w:eastAsia="zh-CN"/>
        </w:rPr>
        <w:t xml:space="preserve">不低于2大荤，2小荤，1素</w:t>
      </w:r>
      <w:r>
        <w:rPr>
          <w:rFonts w:hint="eastAsia" w:ascii="宋体" w:hAnsi="宋体"/>
          <w:bCs/>
          <w:color w:val="auto"/>
          <w:sz w:val="24"/>
          <w:szCs w:val="24"/>
          <w:highlight w:val="none"/>
        </w:rPr>
        <w:t xml:space="preserve">，1汤的标准，并需要提供水果或酸奶</w:t>
      </w:r>
      <w:r>
        <w:rPr>
          <w:rFonts w:hint="eastAsia" w:ascii="宋体" w:hAnsi="宋体"/>
          <w:bCs/>
          <w:color w:val="auto"/>
          <w:sz w:val="24"/>
          <w:szCs w:val="24"/>
          <w:highlight w:val="none"/>
          <w:lang w:eastAsia="zh-CN"/>
        </w:rPr>
        <w:t xml:space="preserve">。</w:t>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（一）就餐时间及就餐秩序</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1.就餐时间：（具体时间服从安排）</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早餐   07:30-08:30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午餐   11:30-12:30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正常工作日</w:t>
      </w:r>
      <w:r>
        <w:rPr>
          <w:rFonts w:hint="eastAsia" w:ascii="宋体" w:hAnsi="宋体"/>
          <w:bCs/>
          <w:color w:val="auto"/>
          <w:sz w:val="24"/>
          <w:szCs w:val="24"/>
          <w:highlight w:val="none"/>
          <w:lang w:val="en-US" w:eastAsia="zh-CN"/>
        </w:rPr>
        <w:t xml:space="preserve">提供早午餐 </w:t>
      </w:r>
      <w:r>
        <w:rPr>
          <w:rFonts w:hint="eastAsia" w:ascii="宋体" w:hAnsi="宋体"/>
          <w:bCs/>
          <w:color w:val="auto"/>
          <w:sz w:val="24"/>
          <w:szCs w:val="24"/>
          <w:highlight w:val="none"/>
        </w:rPr>
        <w:t xml:space="preserve">，晚间、周末及节假日如有需要则根据采购人安排，由此产生的费用</w:t>
      </w:r>
      <w:r>
        <w:rPr>
          <w:rFonts w:hint="eastAsia" w:ascii="宋体" w:hAnsi="宋体"/>
          <w:bCs/>
          <w:color w:val="auto"/>
          <w:sz w:val="24"/>
          <w:szCs w:val="24"/>
          <w:highlight w:val="none"/>
          <w:lang w:val="en-US" w:eastAsia="zh-CN"/>
        </w:rPr>
        <w:t xml:space="preserve">另结</w:t>
      </w:r>
      <w:r>
        <w:rPr>
          <w:rFonts w:hint="eastAsia" w:ascii="宋体" w:hAnsi="宋体"/>
          <w:bCs/>
          <w:color w:val="auto"/>
          <w:sz w:val="24"/>
          <w:szCs w:val="24"/>
          <w:highlight w:val="none"/>
        </w:rPr>
        <w:t xml:space="preserve">。如有人员请假，供应商应做好应对措施，确保人员数量，保证工作不受影响。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2.就餐秩序：办公室主管食堂人员配合食堂管理，就餐人员排队刷卡就餐，用餐结束后，将餐盘送至指定位置。</w:t>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（二）菜单制定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1.食堂菜单由厨师每周五上午送达办公室主管部门审核，审核通过后，下周由食堂按照菜单制作。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2.菜单制作的原则：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A.根据用餐标准制定菜单，合理用料。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B.根据用餐人员口味，制定色、香、味俱全的菜单。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C.兼顾营养搭配、荤素搭配和品种多样化。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3.用餐标准：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A.早餐构成：提供4个</w:t>
      </w:r>
      <w:r>
        <w:rPr>
          <w:rFonts w:hint="eastAsia" w:ascii="宋体" w:hAnsi="宋体"/>
          <w:bCs/>
          <w:color w:val="auto"/>
          <w:sz w:val="24"/>
          <w:szCs w:val="24"/>
          <w:highlight w:val="none"/>
          <w:lang w:val="en-US" w:eastAsia="zh-CN"/>
        </w:rPr>
        <w:t xml:space="preserve">及以上</w:t>
      </w:r>
      <w:r>
        <w:rPr>
          <w:rFonts w:hint="eastAsia" w:ascii="宋体" w:hAnsi="宋体"/>
          <w:bCs/>
          <w:color w:val="auto"/>
          <w:sz w:val="24"/>
          <w:szCs w:val="24"/>
          <w:highlight w:val="none"/>
        </w:rPr>
        <w:t xml:space="preserve">品种，早餐就餐人数约</w:t>
      </w:r>
      <w:r>
        <w:rPr>
          <w:rFonts w:hint="eastAsia" w:ascii="宋体" w:hAnsi="宋体"/>
          <w:bCs/>
          <w:color w:val="auto"/>
          <w:sz w:val="24"/>
          <w:szCs w:val="24"/>
          <w:highlight w:val="none"/>
          <w:lang w:val="en-US" w:eastAsia="zh-CN"/>
        </w:rPr>
        <w:t xml:space="preserve">60</w:t>
      </w:r>
      <w:r>
        <w:rPr>
          <w:rFonts w:hint="eastAsia" w:ascii="宋体" w:hAnsi="宋体"/>
          <w:bCs/>
          <w:color w:val="auto"/>
          <w:sz w:val="24"/>
          <w:szCs w:val="24"/>
          <w:highlight w:val="none"/>
        </w:rPr>
        <w:t xml:space="preserve">人，含鸡蛋、粥、包子等；</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B.中餐构成：提供5个</w:t>
      </w:r>
      <w:r>
        <w:rPr>
          <w:rFonts w:hint="eastAsia" w:ascii="宋体" w:hAnsi="宋体"/>
          <w:bCs/>
          <w:color w:val="auto"/>
          <w:sz w:val="24"/>
          <w:szCs w:val="24"/>
          <w:highlight w:val="none"/>
          <w:lang w:val="en-US" w:eastAsia="zh-CN"/>
        </w:rPr>
        <w:t xml:space="preserve">及以上</w:t>
      </w:r>
      <w:r>
        <w:rPr>
          <w:rFonts w:hint="eastAsia" w:ascii="宋体" w:hAnsi="宋体"/>
          <w:bCs/>
          <w:color w:val="auto"/>
          <w:sz w:val="24"/>
          <w:szCs w:val="24"/>
          <w:highlight w:val="none"/>
        </w:rPr>
        <w:t xml:space="preserve">品种，午餐就餐人数约</w:t>
      </w:r>
      <w:r>
        <w:rPr>
          <w:rFonts w:hint="eastAsia" w:ascii="宋体" w:hAnsi="宋体"/>
          <w:bCs/>
          <w:color w:val="auto"/>
          <w:sz w:val="24"/>
          <w:szCs w:val="24"/>
          <w:highlight w:val="none"/>
          <w:lang w:val="en-US" w:eastAsia="zh-CN"/>
        </w:rPr>
        <w:t xml:space="preserve">110人</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午餐不低于2大荤，2小荤，1素</w:t>
      </w:r>
      <w:r>
        <w:rPr>
          <w:rFonts w:hint="eastAsia" w:ascii="宋体" w:hAnsi="宋体"/>
          <w:bCs/>
          <w:color w:val="auto"/>
          <w:sz w:val="24"/>
          <w:szCs w:val="24"/>
          <w:highlight w:val="none"/>
        </w:rPr>
        <w:t xml:space="preserve">，1汤的标准，并需要提供水果或酸奶</w:t>
      </w:r>
      <w:r>
        <w:rPr>
          <w:rFonts w:hint="eastAsia" w:ascii="宋体" w:hAnsi="宋体"/>
          <w:bCs/>
          <w:color w:val="auto"/>
          <w:sz w:val="24"/>
          <w:szCs w:val="24"/>
          <w:highlight w:val="none"/>
          <w:lang w:eastAsia="zh-CN"/>
        </w:rPr>
        <w:t xml:space="preserve">。</w:t>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（三）餐厅、厨房管理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1.乙方与所有派驻的人员签订劳动合同，乙方确保合法用工，甲方不承担乙方派驻人员的劳动纠纷、安全事故等责任。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2.食堂</w:t>
      </w:r>
      <w:r>
        <w:rPr>
          <w:rFonts w:hint="eastAsia" w:ascii="宋体" w:hAnsi="宋体" w:cs="宋体"/>
          <w:color w:val="auto"/>
          <w:sz w:val="24"/>
          <w:szCs w:val="24"/>
          <w:highlight w:val="none"/>
        </w:rPr>
        <w:t xml:space="preserve">全部从业人员必须持有卫生部门发放的有效健康证，厨师必须持有中式烹调师</w:t>
      </w:r>
      <w:r>
        <w:rPr>
          <w:rFonts w:hint="eastAsia" w:ascii="宋体" w:hAnsi="宋体" w:cs="宋体"/>
          <w:color w:val="auto"/>
          <w:sz w:val="24"/>
          <w:szCs w:val="24"/>
          <w:highlight w:val="none"/>
          <w:lang w:val="en-US" w:eastAsia="zh-CN"/>
        </w:rPr>
        <w:t xml:space="preserve">中级（国家职业资格四级）</w:t>
      </w:r>
      <w:r>
        <w:rPr>
          <w:rFonts w:hint="eastAsia" w:ascii="宋体" w:hAnsi="宋体" w:cs="宋体"/>
          <w:color w:val="auto"/>
          <w:sz w:val="24"/>
          <w:szCs w:val="24"/>
          <w:highlight w:val="none"/>
        </w:rPr>
        <w:t xml:space="preserve">证书</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3.食堂工作人员按岗位规定着装，整洁、完好无破损。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4.个人卫生清洁，确保手指甲符合卫生标准。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5.仪表仪容端庄大方，女同志不佩戴饰物。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6.各项服务按程序操作，符合礼节、礼貌要求。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7.门厅、餐厅、地面、四壁、天花干净，无杂物。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8.餐厅玻璃门窗干净。</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9.工作台干净，物品摆放有序。</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10.餐桌、椅子干净，无污迹。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11.餐具干净、无破损。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12.下水道畅通</w:t>
      </w:r>
      <w:r>
        <w:rPr>
          <w:color w:val="auto"/>
          <w:highlight w:val="none"/>
        </w:rPr>
        <w:t xml:space="preserve">，</w:t>
      </w:r>
      <w:r>
        <w:rPr>
          <w:rFonts w:hint="eastAsia" w:ascii="宋体" w:hAnsi="宋体"/>
          <w:bCs/>
          <w:color w:val="auto"/>
          <w:sz w:val="24"/>
          <w:szCs w:val="24"/>
          <w:highlight w:val="none"/>
        </w:rPr>
        <w:t xml:space="preserve">无积垢，无异物。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13.厨柜、货架无积尘、无油迹，物品摆放整齐。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14.排气罩无积尘、无油污，内壁不漏油。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15.灶具完好，无破损、无积垢，台面干净，摆放整齐。</w:t>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（四）食品卫生安全管理</w:t>
      </w:r>
      <w:r/>
    </w:p>
    <w:p>
      <w:pPr>
        <w:ind w:firstLine="482"/>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食品原料代采购及检查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1.选择优质食品原料的供应商。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2.采购的食品原料必须符合国家卫生标准，品质优良、有生产日期、保质期的中文标识。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办公室安排人员不定期抽查食品原料的质量，严防不符合卫生标准的食品原料流入食堂，严格杜绝来路不明、腐烂变质、过保质期、无生产厂家、无生产日期和产自或来自疫区的食品原料，食用油选用非转基因食用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4.食堂原材料采购由乙方统一配送，由办公室食堂主管人员、食堂人员共同验收质量和数量，并在供货单上签字确认，办公室可另安排人员不定期抽查供货质量和数量。</w:t>
      </w:r>
      <w:r/>
    </w:p>
    <w:p>
      <w:pPr>
        <w:ind w:firstLine="482"/>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食品原料保管</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食品原料应按标识及时码垛，按类别、性质、特点堆放保管，做到先进先出、不串味、不受损、不积压；食品干货库房应保持良好的通风、干燥和卫生环境，控制适宜的温度（20～22℃），防止霉、蛀、腐烂和变质；需进行冷藏的食品，应先放入-20℃低温进行速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2.保管人员必须对食品原料每周进行一次实物盘点，每月末进行一次实物盘点；必须根据月末盘点情况填报食品原料收、发、存月报表和食品原料急用、停用、催用单。</w:t>
      </w:r>
      <w:r/>
    </w:p>
    <w:p>
      <w:pPr>
        <w:ind w:firstLine="482"/>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食品加工销售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1.食品加工人员须定期检查身体，持有卫生部门发放的有效健康证上岗。</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2.食品加工前，加工人员应对食品原料进行检查，对来路不明、腐烂变质、过保质期、无生产厂家和生产日期标识以及产自或来自疫区的食品原料均不得进行加工。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3.每餐饭菜必须在就餐前15分钟准备好。整个加工过程由厨师长统一分工调配食堂员工。加工后的饭菜要注意保热、保洁。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4.就餐期间食堂内部事务统一由厨师长进行协调。根据就餐情况及时调配饭菜，如有饭菜不足情况要及时采取措施。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5.每餐必须将烹饪好的食品留样保存48小时；食物烹饪后至食用前保存时间超过2小时的必须重新加热后销售。</w:t>
      </w:r>
      <w:r/>
    </w:p>
    <w:p>
      <w:pPr>
        <w:ind w:firstLine="482"/>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食品环境卫生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1.制定食堂环境卫生标准，按区域将卫生责任落实到人；定期或不定期进行检查，对未达卫生标准的限期整改并进行复查。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2.食品加工销售人员的工作帽、工作服应整洁，不留长发、胡须、勤剪指甲、勤洗手；勤洗澡；患有传染性疾病、伤口化脓人员不得从事食品加工销售。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3.采取有效措施做好灭防“四害”（老鼠、蟑螂、苍蝇、蚊子）工作。餐厅、厨房内必须安装灭蝇灯和纱门纱窗；地沟、下水道出口安装钢网防鼠；餐具必须进行紫外线消毒。</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烹饪用具、食品容器一律先上洗碗机清洗消毒，再用“84”消毒液浸泡消毒，最后用消毒柜进行消毒；对清洗消毒后的烹饪用具、食品容器妥善保管存放于保洁柜内，防止二次污染；开餐前，应对需使用的餐具再进行一次卫生检查，确保器具符合卫生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5.餐后清洗、清理与打扫。餐后，食堂厨师长组织分工，对餐桌、厨具进行清洗，并分类放在固定位置，厨房、餐厅进行打扫、冲洗；对剩余饭菜进行处理。</w:t>
      </w:r>
      <w:r/>
    </w:p>
    <w:p>
      <w:pPr>
        <w:ind w:left="479" w:right="105" w:firstLine="120"/>
        <w:jc w:val="left"/>
        <w:spacing w:line="520" w:lineRule="exact"/>
        <w:tabs>
          <w:tab w:val="left" w:pos="1078" w:leader="none"/>
        </w:tabs>
        <w:rPr>
          <w:rFonts w:hint="eastAsia" w:ascii="宋体" w:hAnsi="宋体" w:cs="宋体"/>
          <w:b/>
          <w:bCs/>
          <w:color w:val="auto"/>
          <w:position w:val="-2"/>
          <w:sz w:val="24"/>
          <w:szCs w:val="24"/>
          <w:highlight w:val="none"/>
        </w:rPr>
      </w:pPr>
      <w:r>
        <w:rPr>
          <w:rFonts w:hint="eastAsia" w:ascii="宋体" w:hAnsi="宋体" w:cs="宋体"/>
          <w:b/>
          <w:bCs/>
          <w:color w:val="auto"/>
          <w:position w:val="-2"/>
          <w:sz w:val="24"/>
          <w:szCs w:val="24"/>
          <w:highlight w:val="none"/>
        </w:rPr>
        <w:t xml:space="preserve">基础管理与监督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1.做好每日食品原料进货验收、菜品清洗作业控制、熟食品留样、菜肴炉灶制作等质量控制记录。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2.做好食堂餐具容器消毒控制、冷藏设备除霜清洗控制、除“四害”管理控制、卫生包干区检查记录。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3.每周五要进行厨具、餐具的清洗及厨房、餐厅及周边环境的大扫除。每月底要对采购原料及使用原料进行盘点，并列出当月库存物品清单及数量；每月底向甲方汇总当月食堂运营情况，并报下月工作计划。</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4.定期或不定期地对食品卫生安全各管理环节进行监督和检查，发现问题立即采取措施进行纠正，做好食品卫生安全的预防工作。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5.经常对食品原料价格的执行情况进行监督检查和严格考核，杜绝短斤缺两和漫天要价。</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6.主动听取和收集来自就餐人员的意见和建议，分析</w:t>
      </w:r>
      <w:r>
        <w:rPr>
          <w:rFonts w:hint="eastAsia"/>
          <w:color w:val="auto"/>
          <w:highlight w:val="none"/>
        </w:rPr>
        <w:t xml:space="preserve">、</w:t>
      </w:r>
      <w:r>
        <w:rPr>
          <w:rFonts w:hint="eastAsia" w:ascii="宋体" w:hAnsi="宋体"/>
          <w:bCs/>
          <w:color w:val="auto"/>
          <w:sz w:val="24"/>
          <w:szCs w:val="24"/>
          <w:highlight w:val="none"/>
        </w:rPr>
        <w:t xml:space="preserve">研究和落实食品卫生安全的改进措施。</w:t>
      </w:r>
      <w:r/>
    </w:p>
    <w:p>
      <w:pPr>
        <w:ind w:right="105" w:firstLine="482"/>
        <w:jc w:val="left"/>
        <w:spacing w:line="520" w:lineRule="exact"/>
        <w:tabs>
          <w:tab w:val="left" w:pos="1078" w:leader="none"/>
        </w:tabs>
        <w:rPr>
          <w:rFonts w:hint="eastAsia" w:ascii="宋体" w:hAnsi="宋体" w:cs="宋体"/>
          <w:b/>
          <w:bCs/>
          <w:color w:val="auto"/>
          <w:position w:val="-2"/>
          <w:sz w:val="24"/>
          <w:szCs w:val="24"/>
          <w:highlight w:val="none"/>
        </w:rPr>
      </w:pPr>
      <w:r>
        <w:rPr>
          <w:rFonts w:hint="eastAsia" w:ascii="宋体" w:hAnsi="宋体" w:cs="宋体"/>
          <w:b/>
          <w:bCs/>
          <w:color w:val="auto"/>
          <w:position w:val="-2"/>
          <w:sz w:val="24"/>
          <w:szCs w:val="24"/>
          <w:highlight w:val="none"/>
        </w:rPr>
        <w:t xml:space="preserve">（五）食品卫生安全管理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1.食堂食品、物品，设专人管理，领用食品，物品出库要登记，并随时接受检查。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2.食堂食品、物品的领取应根据各组实际用量有计划地领取，每周清点库存物品一次，食堂厨师长对库存物品的数量和质量每天都要检查一次。</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3.食堂食品、物品为集体财产，食堂管理人员、员工应力求节约，不得浪费，不得将食堂的食品、物品变卖、转移为己有，一经发现将严肃处理。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4.对食堂食品、物品实行“采购、入库、使用”三分离原则。建立三本账，做到采购、入库、使用三个数据基本一致，误差控制在1%以内。食堂厨师长要认真把关，随时接受分管领导的认真督查。</w:t>
      </w:r>
      <w:r/>
    </w:p>
    <w:p>
      <w:pPr>
        <w:ind w:firstLine="482"/>
        <w:spacing w:line="360" w:lineRule="auto"/>
        <w:rPr>
          <w:rFonts w:hint="eastAsia" w:ascii="宋体" w:hAnsi="宋体" w:cs="宋体"/>
          <w:b/>
          <w:bCs/>
          <w:color w:val="auto"/>
          <w:position w:val="-2"/>
          <w:sz w:val="24"/>
          <w:szCs w:val="24"/>
          <w:highlight w:val="none"/>
        </w:rPr>
      </w:pPr>
      <w:r>
        <w:rPr>
          <w:rFonts w:hint="eastAsia" w:ascii="宋体" w:hAnsi="宋体" w:cs="宋体"/>
          <w:b/>
          <w:bCs/>
          <w:color w:val="auto"/>
          <w:position w:val="-2"/>
          <w:sz w:val="24"/>
          <w:szCs w:val="24"/>
          <w:highlight w:val="none"/>
        </w:rPr>
        <w:t xml:space="preserve">（六）食堂安全管理制度</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1.提高安全作业观念，认真做好防火、防盗、防毒、防工伤事故。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2.上班时要全面检查水、电、煤气、炉具、消毒柜、冰箱等是否正常，发现问题及时处理，以防发生安全事故。下班要关好水、电闸、油气总阀门及门、窗等，做好防范工作。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3.切肉、切菜、使用煤气及电动设备时，必须严格遵守安全管理和相关操作规范进</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行，严防工伤事故。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4.食堂内不准会客，更不许陌生人及非工作人员随意进出。</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5.严格管理杀虫药品，防止误用、误食药物。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6.注重饮食卫生，防止食物中毒。</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7.食堂煤气开关必须</w:t>
      </w:r>
      <w:r>
        <w:rPr>
          <w:color w:val="auto"/>
          <w:highlight w:val="none"/>
        </w:rPr>
        <w:t xml:space="preserve">由</w:t>
      </w:r>
      <w:r>
        <w:rPr>
          <w:rFonts w:hint="eastAsia" w:ascii="宋体" w:hAnsi="宋体"/>
          <w:bCs/>
          <w:color w:val="auto"/>
          <w:sz w:val="24"/>
          <w:szCs w:val="24"/>
          <w:highlight w:val="none"/>
        </w:rPr>
        <w:t xml:space="preserve">有关人员开启，其他人员不得动用。开启时，先开鼓风机、吹风机、抽风机。</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8.检查煤、气、油等开关是否关闭，若开关开启请关闭后再点火。点火时，先点小火种，再点大火种。使用时，经常检查管道连接处是否正常完好，有无松动破损现象，如发现异常请及时报修。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9.鼓风机盖和鼓风机不得溅入水。总表总阀周围不得置物堵塞。</w:t>
      </w:r>
      <w:r/>
    </w:p>
    <w:p>
      <w:pPr>
        <w:ind w:right="105" w:firstLine="482"/>
        <w:jc w:val="left"/>
        <w:spacing w:line="520" w:lineRule="exact"/>
        <w:tabs>
          <w:tab w:val="left" w:pos="1078" w:leader="none"/>
        </w:tabs>
        <w:rPr>
          <w:rFonts w:hint="eastAsia" w:ascii="宋体" w:hAnsi="宋体" w:cs="宋体"/>
          <w:b/>
          <w:bCs/>
          <w:color w:val="auto"/>
          <w:position w:val="-2"/>
          <w:sz w:val="24"/>
          <w:szCs w:val="24"/>
          <w:highlight w:val="none"/>
        </w:rPr>
      </w:pPr>
      <w:r>
        <w:rPr>
          <w:rFonts w:hint="eastAsia" w:ascii="宋体" w:hAnsi="宋体" w:cs="宋体"/>
          <w:b/>
          <w:bCs/>
          <w:color w:val="auto"/>
          <w:position w:val="-2"/>
          <w:sz w:val="24"/>
          <w:szCs w:val="24"/>
          <w:highlight w:val="none"/>
        </w:rPr>
        <w:t xml:space="preserve">（七）食堂设备安全操作规定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为保证人身和财产安全，使用食堂电器设备时要严格遵守操作规程</w:t>
      </w:r>
      <w:r>
        <w:rPr>
          <w:color w:val="auto"/>
          <w:highlight w:val="none"/>
        </w:rPr>
        <w:t xml:space="preserve">；</w:t>
      </w:r>
      <w:r>
        <w:rPr>
          <w:rFonts w:hint="eastAsia" w:ascii="宋体" w:hAnsi="宋体"/>
          <w:bCs/>
          <w:color w:val="auto"/>
          <w:sz w:val="24"/>
          <w:szCs w:val="24"/>
          <w:highlight w:val="none"/>
        </w:rPr>
        <w:t xml:space="preserve">加强安全管理，防止事故发生。</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1.用电器不准赤脚操作，不准带电维修，需专业维修人员维修。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2.不准用水和湿毛巾擦电源开关箱，插座及电器外壳，不准随意移动电器设备、不准随意改变电器功能、不准乱搭乱拉电线、电源。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3.不能用水冲洗带电源的墙壁。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4.电动设备不使用时要切断闸刀电源，必要时要拔掉插头，并将插头挂起，不得放在地下接触水源。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5.如发现任何导电过热，冒火花，有异味，物件有漏电现象，电机有异常噪音或插座松动立即切断电源，并告知配电房，请电工维修。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6.电动电器不能带负电荷或超负荷启动，送电启动后方可加工的物品（和面机、豆浆机、切肉机、打蛋机等均属电动电器）。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7.电热电器除红外线消毒柜外，不能在容器里无水送电加热（热水器、电热蒸锅、保湿台、电饭煲等均属电热电器）。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8.使用电动电器设备前</w:t>
      </w:r>
      <w:r>
        <w:rPr>
          <w:rFonts w:hint="eastAsia"/>
          <w:color w:val="auto"/>
          <w:highlight w:val="none"/>
        </w:rPr>
        <w:t xml:space="preserve">，</w:t>
      </w:r>
      <w:r>
        <w:rPr>
          <w:rFonts w:hint="eastAsia" w:ascii="宋体" w:hAnsi="宋体"/>
          <w:bCs/>
          <w:color w:val="auto"/>
          <w:sz w:val="24"/>
          <w:szCs w:val="24"/>
          <w:highlight w:val="none"/>
        </w:rPr>
        <w:t xml:space="preserve">使用者一定要先学习本设备使用说明书，掌握使用方法后再进行操作。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9.食堂煤气开关必须由有关人员开启，其他人员不得动用。开启时，先开鼓风机、吹风机、抽风机。</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10.检查煤气时开关是否关闭，若开关开启请关闭后再点火。点火时，先点小火种，再点大火种。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使用时，经常检查管道连接处是否正常完好，有无松动破损现象，如发现异常请及时报修。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12.鼓风机盖和鼓风机不得溅入水。总表总阀周围不得置物堵塞。</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13.停电、停煤气、停水和下班时，应关好食堂一切电力电器设备及水龙头。</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14.发生火灾时，紧急切断电源，并拨打火警电话119。</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15.发现有人触电应立即施救，一定要当机立断，首先设法使触电者立即脱离电源，迅速拔掉插头、拉掉开关、切断电源，同时向上级报告并及时送医院进行抢救。</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16.如不按规定操作，造成事故后果自负，设施受损由个人赔偿。</w:t>
      </w:r>
      <w:r/>
    </w:p>
    <w:p>
      <w:pPr>
        <w:ind w:left="-315" w:right="105" w:firstLine="723"/>
        <w:jc w:val="left"/>
        <w:spacing w:line="520" w:lineRule="exact"/>
        <w:tabs>
          <w:tab w:val="left" w:pos="1078" w:leader="none"/>
        </w:tabs>
        <w:rPr>
          <w:rFonts w:hint="eastAsia" w:ascii="宋体" w:hAnsi="宋体" w:cs="宋体"/>
          <w:b/>
          <w:bCs/>
          <w:color w:val="auto"/>
          <w:position w:val="-2"/>
          <w:sz w:val="24"/>
          <w:szCs w:val="24"/>
          <w:highlight w:val="none"/>
        </w:rPr>
      </w:pPr>
      <w:r>
        <w:rPr>
          <w:rFonts w:hint="eastAsia" w:ascii="宋体" w:hAnsi="宋体" w:cs="宋体"/>
          <w:b/>
          <w:bCs/>
          <w:color w:val="auto"/>
          <w:position w:val="-2"/>
          <w:sz w:val="24"/>
          <w:szCs w:val="24"/>
          <w:highlight w:val="none"/>
        </w:rPr>
        <w:t xml:space="preserve">（八）监督与管理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1.由办公室安排专员负责对接相关事宜。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2.强调监督。每日早上食堂及时公布当日三餐菜谱。设立食堂就餐建议，用餐人员可对食堂提出意见和建议，以便进一步提高食堂服务水平。</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3.办公室主管部门每月进行一次食堂工作考核，考核内容包括菜肴质量，卫生状况、食堂工作人员工作态度，食堂管理制度执行情况，仓库管理是否规范等相关事宜。</w:t>
      </w:r>
      <w:r/>
    </w:p>
    <w:p>
      <w:pPr>
        <w:ind w:right="105" w:firstLine="482"/>
        <w:jc w:val="left"/>
        <w:spacing w:line="520" w:lineRule="exact"/>
        <w:tabs>
          <w:tab w:val="left" w:pos="1078"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（九）人员配置及运作方式</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1.食堂早餐</w:t>
      </w:r>
      <w:r>
        <w:rPr>
          <w:rFonts w:hint="eastAsia" w:ascii="宋体" w:hAnsi="宋体"/>
          <w:bCs/>
          <w:strike w:val="0"/>
          <w:color w:val="auto"/>
          <w:sz w:val="24"/>
          <w:szCs w:val="24"/>
          <w:highlight w:val="none"/>
        </w:rPr>
        <w:t xml:space="preserve">约</w:t>
      </w:r>
      <w:r>
        <w:rPr>
          <w:rFonts w:hint="eastAsia" w:ascii="宋体" w:hAnsi="宋体"/>
          <w:bCs/>
          <w:color w:val="auto"/>
          <w:sz w:val="24"/>
          <w:szCs w:val="24"/>
          <w:highlight w:val="none"/>
          <w:lang w:val="en-US" w:eastAsia="zh-CN"/>
        </w:rPr>
        <w:t xml:space="preserve">60</w:t>
      </w:r>
      <w:r>
        <w:rPr>
          <w:rFonts w:hint="eastAsia" w:ascii="宋体" w:hAnsi="宋体"/>
          <w:bCs/>
          <w:color w:val="auto"/>
          <w:sz w:val="24"/>
          <w:szCs w:val="24"/>
          <w:highlight w:val="none"/>
        </w:rPr>
        <w:t xml:space="preserve">人，午餐</w:t>
      </w:r>
      <w:r>
        <w:rPr>
          <w:rFonts w:hint="eastAsia" w:ascii="宋体" w:hAnsi="宋体"/>
          <w:bCs/>
          <w:strike w:val="0"/>
          <w:color w:val="auto"/>
          <w:sz w:val="24"/>
          <w:szCs w:val="24"/>
          <w:highlight w:val="none"/>
        </w:rPr>
        <w:t xml:space="preserve">约</w:t>
      </w:r>
      <w:r>
        <w:rPr>
          <w:rFonts w:hint="eastAsia" w:ascii="宋体" w:hAnsi="宋体"/>
          <w:bCs/>
          <w:strike w:val="0"/>
          <w:color w:val="auto"/>
          <w:sz w:val="24"/>
          <w:szCs w:val="24"/>
          <w:highlight w:val="none"/>
          <w:lang w:val="en-US" w:eastAsia="zh-CN"/>
        </w:rPr>
        <w:t xml:space="preserve">1</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人。则人员须配置至少5人，其中包括项目经理1人（45周岁以</w:t>
      </w:r>
      <w:r>
        <w:rPr>
          <w:rFonts w:hint="eastAsia" w:ascii="宋体" w:hAnsi="宋体"/>
          <w:bCs/>
          <w:color w:val="auto"/>
          <w:sz w:val="24"/>
          <w:szCs w:val="24"/>
          <w:highlight w:val="none"/>
          <w:lang w:val="en-US" w:eastAsia="zh-CN"/>
        </w:rPr>
        <w:t xml:space="preserve">内</w:t>
      </w:r>
      <w:r>
        <w:rPr>
          <w:rFonts w:hint="eastAsia" w:ascii="宋体" w:hAnsi="宋体"/>
          <w:bCs/>
          <w:color w:val="auto"/>
          <w:sz w:val="24"/>
          <w:szCs w:val="24"/>
          <w:highlight w:val="none"/>
        </w:rPr>
        <w:t xml:space="preserve">），厨师1人（40</w:t>
      </w:r>
      <w:r>
        <w:rPr>
          <w:rFonts w:hint="eastAsia" w:ascii="宋体" w:hAnsi="宋体"/>
          <w:bCs/>
          <w:color w:val="auto"/>
          <w:sz w:val="24"/>
          <w:szCs w:val="24"/>
          <w:highlight w:val="none"/>
          <w:lang w:val="en-US" w:eastAsia="zh-CN"/>
        </w:rPr>
        <w:t xml:space="preserve">周</w:t>
      </w:r>
      <w:r>
        <w:rPr>
          <w:rFonts w:hint="eastAsia" w:ascii="宋体" w:hAnsi="宋体"/>
          <w:bCs/>
          <w:color w:val="auto"/>
          <w:sz w:val="24"/>
          <w:szCs w:val="24"/>
          <w:highlight w:val="none"/>
        </w:rPr>
        <w:t xml:space="preserve">岁以</w:t>
      </w:r>
      <w:r>
        <w:rPr>
          <w:rFonts w:hint="eastAsia" w:ascii="宋体" w:hAnsi="宋体"/>
          <w:bCs/>
          <w:color w:val="auto"/>
          <w:sz w:val="24"/>
          <w:szCs w:val="24"/>
          <w:highlight w:val="none"/>
          <w:lang w:val="en-US" w:eastAsia="zh-CN"/>
        </w:rPr>
        <w:t xml:space="preserve">内</w:t>
      </w:r>
      <w:r>
        <w:rPr>
          <w:rFonts w:hint="eastAsia" w:ascii="宋体" w:hAnsi="宋体"/>
          <w:bCs/>
          <w:color w:val="auto"/>
          <w:sz w:val="24"/>
          <w:szCs w:val="24"/>
          <w:highlight w:val="none"/>
        </w:rPr>
        <w:t xml:space="preserve">），帮厨1人（50周岁以内），辅助人员</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lang w:val="en-US" w:eastAsia="zh-CN"/>
        </w:rPr>
        <w:t xml:space="preserve">65</w:t>
      </w:r>
      <w:r>
        <w:rPr>
          <w:rFonts w:hint="eastAsia" w:ascii="宋体" w:hAnsi="宋体"/>
          <w:bCs/>
          <w:color w:val="auto"/>
          <w:sz w:val="24"/>
          <w:szCs w:val="24"/>
          <w:highlight w:val="none"/>
        </w:rPr>
        <w:t xml:space="preserve">周岁以内）。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2.投标供应商配备在本项目的人员须由供应商缴纳社会保险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退休人员除外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意外保险。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采取管理、劳务、原材料代采购等总承包方式。采购人承担用餐、后厨场地，相关设备设施及水、电、气及其他能源易耗品等费用。原料由成交供应商采购。成交供应商负责食堂人事、菜肴采购与制作、就餐环境卫生服务等。</w:t>
      </w:r>
      <w:r/>
    </w:p>
    <w:p>
      <w:pPr>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二、商务要求：</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1.采购内容：服务商提供食堂餐饮服务(包括食堂人事、菜肴采购与制作、就餐环境卫生服务等)，其中，每日提供早餐</w:t>
      </w:r>
      <w:r>
        <w:rPr>
          <w:rFonts w:hint="eastAsia" w:ascii="宋体" w:hAnsi="宋体"/>
          <w:bCs/>
          <w:color w:val="auto"/>
          <w:sz w:val="24"/>
          <w:szCs w:val="24"/>
          <w:highlight w:val="none"/>
          <w:lang w:val="en-US" w:eastAsia="zh-CN"/>
        </w:rPr>
        <w:t xml:space="preserve">约</w:t>
      </w:r>
      <w:r>
        <w:rPr>
          <w:rFonts w:hint="eastAsia" w:ascii="宋体" w:hAnsi="宋体"/>
          <w:bCs/>
          <w:color w:val="auto"/>
          <w:sz w:val="24"/>
          <w:szCs w:val="24"/>
          <w:highlight w:val="none"/>
        </w:rPr>
        <w:t xml:space="preserve">60人，午餐</w:t>
      </w:r>
      <w:r>
        <w:rPr>
          <w:rFonts w:hint="eastAsia" w:ascii="宋体" w:hAnsi="宋体"/>
          <w:bCs/>
          <w:color w:val="auto"/>
          <w:sz w:val="24"/>
          <w:szCs w:val="24"/>
          <w:highlight w:val="none"/>
          <w:lang w:val="en-US" w:eastAsia="zh-CN"/>
        </w:rPr>
        <w:t xml:space="preserve">约</w:t>
      </w:r>
      <w:r>
        <w:rPr>
          <w:rFonts w:hint="eastAsia" w:ascii="宋体" w:hAnsi="宋体"/>
          <w:bCs/>
          <w:color w:val="auto"/>
          <w:sz w:val="24"/>
          <w:szCs w:val="24"/>
          <w:highlight w:val="none"/>
        </w:rPr>
        <w:t xml:space="preserve">110人。保障每日菜品不同样，早餐不少于4样，午餐</w:t>
      </w:r>
      <w:r>
        <w:rPr>
          <w:rFonts w:hint="eastAsia" w:ascii="宋体" w:hAnsi="宋体"/>
          <w:bCs/>
          <w:color w:val="auto"/>
          <w:sz w:val="24"/>
          <w:szCs w:val="24"/>
          <w:highlight w:val="none"/>
          <w:lang w:val="en-US" w:eastAsia="zh-CN"/>
        </w:rPr>
        <w:t xml:space="preserve">不低于2大荤，2小荤，1素</w:t>
      </w:r>
      <w:r>
        <w:rPr>
          <w:rFonts w:hint="eastAsia" w:ascii="宋体" w:hAnsi="宋体"/>
          <w:bCs/>
          <w:color w:val="auto"/>
          <w:sz w:val="24"/>
          <w:szCs w:val="24"/>
          <w:highlight w:val="none"/>
        </w:rPr>
        <w:t xml:space="preserve">，1汤的标准，并需要提供水果或酸奶</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2.本次投标设最高限价</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0万元，投标供应商的报价不得高于此限价，否则作为无效投标文件处理，请慎重报价。</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报价除应包括配备人员的年度工资预算（员工工资不得低于泰州市最低工资标准）、管理区域清洁费、法定税费及员工社会保险费、意外保险费和合理利润外，还应包括管理、服装等各项应有费用。除非因特殊原因并经双方协商同意，供应商不得再要求追加任何费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4.合同履行期限：</w:t>
      </w:r>
      <w:r>
        <w:rPr>
          <w:rFonts w:hint="eastAsia" w:ascii="宋体" w:hAnsi="宋体" w:eastAsia="宋体" w:cs="宋体"/>
          <w:color w:val="auto"/>
          <w:sz w:val="24"/>
          <w:szCs w:val="24"/>
          <w:highlight w:val="none"/>
          <w:lang w:eastAsia="zh-CN"/>
        </w:rPr>
        <w:t xml:space="preserve">2025年12月-2026年11月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成交供应商必须服从采购人的监管考核，如考核不合格，采购人有权要求成交供应商整改，整改不到位的采购人将有权给予一定的处罚。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5.合同形式：固定总价合同。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合同履行中，采购人需追加与合同标的相同的服务的，在不改变合同其他条款的前提下，可以与中标单位协商签订补充合同，但所有补充合同的采购金额不超过原合同金额的10%。</w:t>
      </w:r>
      <w:r/>
    </w:p>
    <w:p>
      <w:pPr>
        <w:numPr>
          <w:ilvl w:val="0"/>
          <w:numId w:val="7"/>
        </w:num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付款方式：</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（1）合同签订后，成交供应商按照合同约定时间进场提供服务。管理服务费以每季度开票结算一次。在第二个季度的第一个月的上旬，采购人向成交供应商通报考核情况、测算支付金额。</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（2）付款时，成交供应商向采购人提交正式发票。发票上需写明单位名称。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7.安全责任：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（1）成交供应商要加强对从事服务人员的安全知识教育和培训，严格遵守安全操作规程，作业时做好防护措施，安全生产。</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（2）成交供应商必须合法经营，不得有违反业主单位的环境、秩序的任何经营活动。</w:t>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pStyle w:val="1031"/>
        <w:contextualSpacing/>
        <w:ind w:firstLine="2570"/>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第四章  </w:t>
      </w:r>
      <w:bookmarkStart w:id="148" w:name="_Toc22871"/>
      <w:r>
        <w:rPr>
          <w:rFonts w:hint="eastAsia" w:ascii="宋体" w:hAnsi="宋体" w:eastAsia="宋体" w:cs="宋体"/>
          <w:b/>
          <w:color w:val="auto"/>
          <w:sz w:val="32"/>
          <w:szCs w:val="32"/>
          <w:highlight w:val="none"/>
        </w:rPr>
        <w:t xml:space="preserve">评审方法和评审标准</w:t>
      </w:r>
      <w:bookmarkEnd w:id="147"/>
      <w:r/>
      <w:bookmarkEnd w:id="148"/>
      <w:r/>
      <w:r/>
    </w:p>
    <w:p>
      <w:pPr>
        <w:spacing w:line="360" w:lineRule="auto"/>
        <w:tabs>
          <w:tab w:val="left" w:pos="900" w:leader="none"/>
        </w:tabs>
        <w:rPr>
          <w:rFonts w:hint="eastAsia" w:ascii="宋体" w:hAnsi="宋体" w:cs="宋体"/>
          <w:color w:val="auto"/>
          <w:sz w:val="24"/>
          <w:szCs w:val="24"/>
          <w:highlight w:val="none"/>
        </w:rPr>
      </w:pPr>
      <w:r/>
      <w:bookmarkStart w:id="149" w:name="_Toc9598"/>
      <w:r/>
      <w:bookmarkStart w:id="150" w:name="_Toc34087977"/>
      <w:r>
        <w:rPr>
          <w:rFonts w:hint="eastAsia" w:ascii="宋体" w:hAnsi="宋体" w:cs="宋体"/>
          <w:color w:val="auto"/>
          <w:sz w:val="24"/>
          <w:szCs w:val="24"/>
          <w:highlight w:val="none"/>
        </w:rPr>
        <w:t xml:space="preserve">一、磋商模式</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不见面远程磋商模式：开标当天各供应商在各自地点通过苏采云系统及时登录不见面开标大厅，参加磋商活动。</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二、磋商组织及磋商小组职责</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1.本次竞争性磋商依据《中华人民共和国政府采购法》《政府采购竞争性磋商</w:t>
      </w:r>
      <w:r>
        <w:rPr>
          <w:rFonts w:hint="eastAsia" w:ascii="宋体" w:hAnsi="宋体" w:cs="宋体"/>
          <w:color w:val="auto"/>
          <w:sz w:val="24"/>
          <w:szCs w:val="24"/>
          <w:highlight w:val="none"/>
          <w:lang w:eastAsia="zh-CN"/>
        </w:rPr>
        <w:t xml:space="preserve">采购方式管理</w:t>
      </w:r>
      <w:r>
        <w:rPr>
          <w:rFonts w:hint="eastAsia" w:ascii="宋体" w:hAnsi="宋体" w:cs="宋体"/>
          <w:color w:val="auto"/>
          <w:sz w:val="24"/>
          <w:szCs w:val="24"/>
          <w:highlight w:val="none"/>
        </w:rPr>
        <w:t xml:space="preserve">暂行办法》及有关法规成立磋商小组。磋商小组由采购人代表和评审专家共3人及以上单数组成。</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2.磋商小组的职责：</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（2）磋商文件内容违反国家有关强制性规定的，磋商小组应当停止评审并向采购人或者采购代理机构说明情况。</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（3）磋商小组成员应当遵守评审工作纪律，不得泄露评审情况和评审中获悉的商业秘密，对个人的评审意见承担法律责任。</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（4）磋商小组成员在评审过程中发现供应商有行贿、提供虚假材料或者串通等违法行为的，应当及时向财政部门报告。</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（5）磋商小组成员在评审过程中受到非法干涉的，应当及时向财政、监察等部门举报。</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（6）配合采购单位答复供应商提出的质疑；配合财政部门的投诉处理和监督检查工作。</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3.评审有关记录由磋商小组成员签名，存档备查。</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三、评审步骤</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第一阶段：</w:t>
      </w:r>
      <w:r>
        <w:rPr>
          <w:rFonts w:hint="eastAsia" w:ascii="宋体" w:hAnsi="宋体" w:cs="宋体"/>
          <w:color w:val="auto"/>
          <w:sz w:val="24"/>
          <w:szCs w:val="24"/>
          <w:highlight w:val="none"/>
        </w:rPr>
        <w:t xml:space="preserve">采购人代表</w:t>
      </w:r>
      <w:r>
        <w:rPr>
          <w:rFonts w:hint="eastAsia" w:ascii="宋体" w:hAnsi="宋体" w:cs="宋体"/>
          <w:color w:val="auto"/>
          <w:sz w:val="24"/>
          <w:szCs w:val="24"/>
          <w:highlight w:val="none"/>
          <w:lang w:val="zh-CN"/>
        </w:rPr>
        <w:t xml:space="preserve">对每个供应商的资格进行审查。</w:t>
      </w:r>
      <w:r>
        <w:rPr>
          <w:rFonts w:hint="eastAsia" w:ascii="宋体" w:hAnsi="宋体" w:cs="宋体"/>
          <w:color w:val="auto"/>
          <w:sz w:val="24"/>
          <w:szCs w:val="24"/>
          <w:highlight w:val="none"/>
        </w:rPr>
        <w:t xml:space="preserve">供应商资格不合格的，其响应文件判定为无效响应文件。</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第二阶段：</w:t>
      </w:r>
      <w:r>
        <w:rPr>
          <w:rFonts w:hint="eastAsia" w:ascii="宋体" w:hAnsi="宋体" w:cs="宋体"/>
          <w:color w:val="auto"/>
          <w:sz w:val="24"/>
          <w:szCs w:val="24"/>
          <w:highlight w:val="none"/>
        </w:rPr>
        <w:t xml:space="preserve">依据磋商文件的规定，由磋商小组</w:t>
      </w:r>
      <w:r>
        <w:rPr>
          <w:rFonts w:hint="eastAsia" w:ascii="宋体" w:hAnsi="宋体" w:cs="宋体"/>
          <w:color w:val="auto"/>
          <w:sz w:val="24"/>
          <w:szCs w:val="24"/>
          <w:highlight w:val="none"/>
          <w:lang w:val="zh-CN"/>
        </w:rPr>
        <w:t xml:space="preserve">对每个符合资格要求的供应商</w:t>
      </w:r>
      <w:r>
        <w:rPr>
          <w:rFonts w:hint="eastAsia" w:ascii="宋体" w:hAnsi="宋体" w:cs="宋体"/>
          <w:color w:val="auto"/>
          <w:sz w:val="24"/>
          <w:szCs w:val="24"/>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第三阶段：</w:t>
      </w:r>
      <w:r>
        <w:rPr>
          <w:rFonts w:hint="eastAsia" w:ascii="宋体" w:hAnsi="宋体" w:cs="宋体"/>
          <w:color w:val="auto"/>
          <w:sz w:val="24"/>
          <w:szCs w:val="24"/>
          <w:highlight w:val="none"/>
        </w:rPr>
        <w:t xml:space="preserve">磋商小组与通过符合性审查的供应商单一分别进行磋商。单一分别磋商结束后，系统进入商务技术响应文件评审。</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第</w:t>
      </w: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val="zh-CN"/>
        </w:rPr>
        <w:t xml:space="preserve">阶段：</w:t>
      </w:r>
      <w:r>
        <w:rPr>
          <w:rFonts w:hint="eastAsia" w:ascii="宋体" w:hAnsi="宋体" w:cs="宋体"/>
          <w:color w:val="auto"/>
          <w:sz w:val="24"/>
          <w:szCs w:val="24"/>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color w:val="auto"/>
          <w:sz w:val="24"/>
          <w:szCs w:val="24"/>
          <w:highlight w:val="none"/>
          <w:lang w:val="zh-CN"/>
        </w:rPr>
        <w:t xml:space="preserve">。</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四、磋商程序</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24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分钟内提交最后报价。</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最后报价是供应商响应文件的有效组成部分，提交最后报价的供应商不得少于3家。符合《政府采购竞争性磋商</w:t>
      </w:r>
      <w:r>
        <w:rPr>
          <w:rFonts w:hint="eastAsia" w:ascii="宋体" w:hAnsi="宋体" w:cs="宋体"/>
          <w:color w:val="auto"/>
          <w:sz w:val="24"/>
          <w:szCs w:val="24"/>
          <w:highlight w:val="none"/>
          <w:lang w:eastAsia="zh-CN"/>
        </w:rPr>
        <w:t xml:space="preserve">采购方式管理</w:t>
      </w:r>
      <w:r>
        <w:rPr>
          <w:rFonts w:hint="eastAsia" w:ascii="宋体" w:hAnsi="宋体" w:cs="宋体"/>
          <w:color w:val="auto"/>
          <w:sz w:val="24"/>
          <w:szCs w:val="24"/>
          <w:highlight w:val="none"/>
        </w:rPr>
        <w:t xml:space="preserve">暂行办法》第三条第一款第四项及《财政部关于竞争性磋商</w:t>
      </w:r>
      <w:r>
        <w:rPr>
          <w:rFonts w:hint="eastAsia" w:ascii="宋体" w:hAnsi="宋体" w:cs="宋体"/>
          <w:color w:val="auto"/>
          <w:sz w:val="24"/>
          <w:szCs w:val="24"/>
          <w:highlight w:val="none"/>
          <w:lang w:eastAsia="zh-CN"/>
        </w:rPr>
        <w:t xml:space="preserve">采购方式管理</w:t>
      </w:r>
      <w:r>
        <w:rPr>
          <w:rFonts w:hint="eastAsia" w:ascii="宋体" w:hAnsi="宋体" w:cs="宋体"/>
          <w:color w:val="auto"/>
          <w:sz w:val="24"/>
          <w:szCs w:val="24"/>
          <w:highlight w:val="none"/>
        </w:rPr>
        <w:t xml:space="preserve">暂行办法有关问题的补充通知》（财库〔2015〕124号）规定情形的，提交最后报价的供应商可以为2家。</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4.除非在磋商中磋商小组对采购需求中的技术、服务要求以及合同草案条款做了实质性变更，否则采购单位不接受供应商高于自己前一轮的磋商报价。</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5.在磋商中，磋商的任何一方不得透露与磋商有关的其他响应磋商的供应商的技术资料、价格及其他信息。</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五、磋商评定结果的方法</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2.评审时，磋商小组各成员应当独立对每个有效响应的文件进行评价、打分，然后汇总每个供应商每项评分因素的得分（计算结果均四舍五入保留两位小数）。</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3.本次项目磋商的商务技术和报价评审总分值为100分。 </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4.商务技术分按算术平均值计算，分值四舍五入保留两位小数。</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5.报价分统一采用低价优先法计算直接取得，与商务技术分相加为供应商的综合得分（四舍五入保留两位小数）。</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6.综合得分最高的供应商推荐为成交</w:t>
      </w:r>
      <w:r>
        <w:rPr>
          <w:rFonts w:hint="eastAsia" w:ascii="宋体" w:hAnsi="宋体" w:cs="宋体"/>
          <w:color w:val="auto"/>
          <w:sz w:val="24"/>
          <w:szCs w:val="24"/>
          <w:highlight w:val="none"/>
          <w:lang w:val="en-US" w:eastAsia="zh-CN"/>
        </w:rPr>
        <w:t xml:space="preserve">候选</w:t>
      </w:r>
      <w:r>
        <w:rPr>
          <w:rFonts w:hint="eastAsia" w:ascii="宋体" w:hAnsi="宋体" w:cs="宋体"/>
          <w:color w:val="auto"/>
          <w:sz w:val="24"/>
          <w:szCs w:val="24"/>
          <w:highlight w:val="none"/>
        </w:rPr>
        <w:t xml:space="preserve">人并出具评审磋商报告。</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7.确定成交候选人的特殊情况处理： </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（1）若总分相同，则按最终报价响应得分高者优先中标。</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（2）若总分且最终报价响应得分相同，则采取现场抽签的方式确定（供应商的抽签顺序分别为各供应商递交响应文件签到顺序号）。</w:t>
      </w:r>
      <w:r/>
    </w:p>
    <w:p>
      <w:pPr>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8.磋商评审时，评委对评审的细则若有争议，由磋商小组集体讨论确定，并对未尽情况有最终解释权。</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ind w:firstLine="482"/>
        <w:jc w:val="center"/>
        <w:spacing w:line="360" w:lineRule="auto"/>
        <w:rPr>
          <w:rFonts w:ascii="宋体" w:hAnsi="宋体"/>
          <w:color w:val="auto"/>
          <w:sz w:val="36"/>
          <w:szCs w:val="36"/>
          <w:highlight w:val="none"/>
        </w:rPr>
      </w:pPr>
      <w:r>
        <w:rPr>
          <w:rFonts w:hint="eastAsia" w:ascii="宋体" w:hAnsi="宋体" w:cs="宋体"/>
          <w:b/>
          <w:bCs/>
          <w:color w:val="auto"/>
          <w:sz w:val="24"/>
          <w:szCs w:val="24"/>
          <w:highlight w:val="none"/>
        </w:rPr>
        <w:t xml:space="preserve">评审标准（总分100分）</w:t>
      </w:r>
      <w:r/>
    </w:p>
    <w:tbl>
      <w:tblPr>
        <w:tblStyle w:val="846"/>
        <w:tblW w:w="1010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260"/>
        <w:gridCol w:w="1584"/>
        <w:gridCol w:w="6524"/>
        <w:gridCol w:w="733"/>
      </w:tblGrid>
      <w:tr>
        <w:trPr>
          <w:jc w:val="center"/>
          <w:trHeight w:val="285"/>
          <w:tblHeader/>
        </w:trPr>
        <w:tc>
          <w:tcPr>
            <w:tcBorders>
              <w:top w:val="single" w:color="auto" w:sz="8" w:space="0"/>
              <w:left w:val="single" w:color="auto" w:sz="8" w:space="0"/>
              <w:bottom w:val="single" w:color="auto" w:sz="8" w:space="0"/>
              <w:right w:val="single" w:color="auto" w:sz="8" w:space="0"/>
            </w:tcBorders>
            <w:tcW w:w="1260" w:type="dxa"/>
            <w:vAlign w:val="center"/>
            <w:textDirection w:val="lrTb"/>
            <w:noWrap w:val="false"/>
          </w:tcPr>
          <w:p>
            <w:pPr>
              <w:jc w:val="center"/>
              <w:spacing w:line="360" w:lineRule="auto"/>
              <w:widowControl/>
              <w:rPr>
                <w:rFonts w:ascii="宋体" w:hAnsi="宋体"/>
                <w:b/>
                <w:bCs/>
                <w:color w:val="auto"/>
                <w:sz w:val="24"/>
                <w:highlight w:val="none"/>
              </w:rPr>
            </w:pPr>
            <w:r>
              <w:rPr>
                <w:rFonts w:hint="eastAsia" w:ascii="宋体" w:hAnsi="宋体" w:cs="宋体"/>
                <w:b/>
                <w:bCs/>
                <w:color w:val="auto"/>
                <w:sz w:val="24"/>
                <w:highlight w:val="none"/>
              </w:rPr>
              <w:t xml:space="preserve">类别</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jc w:val="center"/>
              <w:spacing w:line="360" w:lineRule="auto"/>
              <w:widowControl/>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评审项</w:t>
            </w:r>
            <w:r>
              <w:rPr>
                <w:rFonts w:hint="eastAsia" w:ascii="宋体" w:hAnsi="宋体" w:cs="宋体"/>
                <w:b/>
                <w:bCs/>
                <w:color w:val="auto"/>
                <w:sz w:val="24"/>
                <w:highlight w:val="none"/>
                <w:lang w:val="en-US" w:eastAsia="zh-CN"/>
              </w:rPr>
              <w:t xml:space="preserve">目</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jc w:val="center"/>
              <w:spacing w:line="360" w:lineRule="auto"/>
              <w:widowControl/>
              <w:rPr>
                <w:rFonts w:ascii="宋体" w:hAnsi="宋体"/>
                <w:b/>
                <w:bCs/>
                <w:color w:val="auto"/>
                <w:sz w:val="24"/>
                <w:highlight w:val="none"/>
              </w:rPr>
            </w:pPr>
            <w:r>
              <w:rPr>
                <w:rFonts w:hint="eastAsia" w:ascii="宋体" w:hAnsi="宋体" w:cs="宋体"/>
                <w:b/>
                <w:bCs/>
                <w:color w:val="auto"/>
                <w:sz w:val="24"/>
                <w:highlight w:val="none"/>
              </w:rPr>
              <w:t xml:space="preserve">评分细则</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jc w:val="center"/>
          <w:trHeight w:val="1005"/>
        </w:trPr>
        <w:tc>
          <w:tcPr>
            <w:tcBorders>
              <w:top w:val="single" w:color="auto" w:sz="8" w:space="0"/>
              <w:left w:val="single" w:color="auto" w:sz="8" w:space="0"/>
              <w:bottom w:val="single" w:color="auto" w:sz="8" w:space="0"/>
              <w:right w:val="single" w:color="auto" w:sz="8" w:space="0"/>
            </w:tcBorders>
            <w:tcW w:w="1260" w:type="dxa"/>
            <w:vAlign w:val="center"/>
            <w:textDirection w:val="lrTb"/>
            <w:noWrap w:val="false"/>
          </w:tcPr>
          <w:p>
            <w:pPr>
              <w:jc w:val="center"/>
              <w:spacing w:line="276"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报价</w:t>
            </w:r>
            <w:r/>
          </w:p>
          <w:p>
            <w:pPr>
              <w:jc w:val="center"/>
              <w:spacing w:line="276"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20</w:t>
            </w:r>
            <w:r>
              <w:rPr>
                <w:rFonts w:hint="eastAsia" w:ascii="宋体" w:hAnsi="宋体" w:cs="宋体"/>
                <w:b/>
                <w:bCs/>
                <w:color w:val="auto"/>
                <w:sz w:val="24"/>
                <w:highlight w:val="none"/>
              </w:rPr>
              <w:t xml:space="preserve">分）   </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jc w:val="center"/>
              <w:spacing w:line="276" w:lineRule="auto"/>
              <w:widowControl/>
              <w:rPr>
                <w:rFonts w:ascii="宋体" w:hAnsi="宋体"/>
                <w:color w:val="auto"/>
                <w:sz w:val="24"/>
                <w:highlight w:val="none"/>
              </w:rPr>
            </w:pPr>
            <w:r>
              <w:rPr>
                <w:rFonts w:hint="eastAsia" w:ascii="宋体" w:hAnsi="宋体"/>
                <w:color w:val="auto"/>
                <w:sz w:val="24"/>
                <w:highlight w:val="none"/>
              </w:rPr>
              <w:t xml:space="preserve">价格</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ind w:firstLine="480"/>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满足磋商文件要求且最后报价最低的供应商的价格为评标基准价，其价格分为满分</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分。其他供应商的价格分统一按照下列公式计算：</w:t>
            </w:r>
            <w:r/>
          </w:p>
          <w:p>
            <w:pPr>
              <w:ind w:firstLine="480"/>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报价得分=(评标基准价／最后报价)×</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（得分四舍五入，保留小数点后2位）。</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widowControl/>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20</w:t>
            </w:r>
            <w:r/>
          </w:p>
        </w:tc>
      </w:tr>
      <w:tr>
        <w:trPr>
          <w:jc w:val="center"/>
          <w:trHeight w:val="950"/>
        </w:trPr>
        <w:tc>
          <w:tcPr>
            <w:tcBorders>
              <w:top w:val="single" w:color="auto" w:sz="8" w:space="0"/>
              <w:left w:val="single" w:color="auto" w:sz="8" w:space="0"/>
              <w:bottom w:val="single" w:color="auto" w:sz="8" w:space="0"/>
              <w:right w:val="single" w:color="auto" w:sz="8" w:space="0"/>
            </w:tcBorders>
            <w:tcW w:w="1260" w:type="dxa"/>
            <w:vAlign w:val="center"/>
            <w:vMerge w:val="restart"/>
            <w:textDirection w:val="lrTb"/>
            <w:noWrap w:val="false"/>
          </w:tcPr>
          <w:p>
            <w:pPr>
              <w:jc w:val="center"/>
              <w:spacing w:line="276" w:lineRule="auto"/>
              <w:widowControl/>
              <w:rPr>
                <w:rFonts w:ascii="宋体" w:hAnsi="宋体"/>
                <w:b/>
                <w:bCs/>
                <w:color w:val="auto"/>
                <w:sz w:val="24"/>
                <w:highlight w:val="none"/>
              </w:rPr>
            </w:pPr>
            <w:r>
              <w:rPr>
                <w:rFonts w:hint="eastAsia" w:ascii="宋体" w:hAnsi="宋体"/>
                <w:b/>
                <w:bCs/>
                <w:color w:val="auto"/>
                <w:sz w:val="24"/>
                <w:highlight w:val="none"/>
              </w:rPr>
              <w:t xml:space="preserve">商务</w:t>
            </w:r>
            <w:r/>
          </w:p>
          <w:p>
            <w:pPr>
              <w:jc w:val="center"/>
              <w:spacing w:line="276" w:lineRule="auto"/>
              <w:widowControl/>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50</w:t>
            </w:r>
            <w:r>
              <w:rPr>
                <w:rFonts w:hint="eastAsia" w:ascii="宋体" w:hAnsi="宋体"/>
                <w:b/>
                <w:bCs/>
                <w:color w:val="auto"/>
                <w:sz w:val="24"/>
                <w:highlight w:val="none"/>
              </w:rPr>
              <w:t xml:space="preserve">分）   </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jc w:val="cente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业绩</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1.供应商自202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年1月1日以来，承担过</w:t>
            </w:r>
            <w:r>
              <w:rPr>
                <w:rFonts w:hint="eastAsia" w:ascii="宋体" w:hAnsi="宋体" w:cs="宋体"/>
                <w:color w:val="auto"/>
                <w:sz w:val="24"/>
                <w:highlight w:val="none"/>
                <w:lang w:val="zh-CN"/>
              </w:rPr>
              <w:t xml:space="preserve">企事业单位</w:t>
            </w:r>
            <w:r>
              <w:rPr>
                <w:rFonts w:hint="eastAsia" w:ascii="宋体" w:hAnsi="宋体" w:cs="宋体"/>
                <w:color w:val="auto"/>
                <w:sz w:val="24"/>
                <w:highlight w:val="none"/>
              </w:rPr>
              <w:t xml:space="preserve">的食堂管理服务案例，每提供一个得3分，最高得12分。</w:t>
            </w:r>
            <w:r/>
          </w:p>
          <w:p>
            <w:pPr>
              <w:ind w:firstLine="482"/>
              <w:spacing w:line="276"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注：须提供合同扫描件加盖供应商电子签章作为得分依据。合同内容必须能清楚地反映合同首页、合同标的页和盖章页，否则不得分。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2.供应商具有为所承接过的食堂营业场所投保雇主责任险和食品安全责任保险的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每提供一个得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ind w:firstLine="482"/>
              <w:spacing w:line="276"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注：保险的购买时间截止公告发布时间前；保险单及购买发票提供扫描件加盖供应商电子签章作为得分依据，不提供不得分。</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18</w:t>
            </w:r>
            <w:r/>
          </w:p>
        </w:tc>
      </w:tr>
      <w:tr>
        <w:trPr>
          <w:jc w:val="center"/>
          <w:trHeight w:val="950"/>
        </w:trPr>
        <w:tc>
          <w:tcPr>
            <w:tcBorders>
              <w:top w:val="single" w:color="auto" w:sz="8" w:space="0"/>
              <w:left w:val="single" w:color="auto" w:sz="8" w:space="0"/>
              <w:bottom w:val="single" w:color="auto" w:sz="8" w:space="0"/>
              <w:right w:val="single" w:color="auto" w:sz="8" w:space="0"/>
            </w:tcBorders>
            <w:tcW w:w="1260" w:type="dxa"/>
            <w:vAlign w:val="center"/>
            <w:vMerge w:val="continue"/>
            <w:textDirection w:val="lrTb"/>
            <w:noWrap w:val="false"/>
          </w:tcPr>
          <w:p>
            <w:pPr>
              <w:jc w:val="left"/>
              <w:widowControl/>
              <w:rPr>
                <w:rFonts w:ascii="宋体" w:hAnsi="宋体"/>
                <w:b/>
                <w:bCs/>
                <w:color w:val="auto"/>
                <w:sz w:val="24"/>
                <w:highlight w:val="none"/>
              </w:rPr>
            </w:pPr>
            <w:r>
              <w:rPr>
                <w:rFonts w:ascii="宋体" w:hAnsi="宋体"/>
                <w:b/>
                <w:bCs/>
                <w:color w:val="auto"/>
                <w:sz w:val="24"/>
                <w:highlight w:val="none"/>
              </w:rPr>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jc w:val="cente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企业基本认证体系</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1.具有ISO9001质量管理体系认证（</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2.具有ISO45001职业健康安全管理体系认证（</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3.具有ISO14001环境管理体系认证（</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4.具有危害分析与关键控制点HACCP认证证书（</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spacing w:line="276"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注：提供有效证书扫描件加盖电子签章，同时提供国家认证认可监督管理委员会官网查询截图并加盖供应商电子签章，缺项或未提供均不得分。</w:t>
            </w:r>
            <w:r/>
          </w:p>
          <w:p>
            <w:pPr>
              <w:spacing w:line="276"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查询网址：</w:t>
            </w:r>
            <w:r/>
          </w:p>
          <w:p>
            <w:pPr>
              <w:ind w:firstLine="482"/>
              <w:spacing w:line="276" w:lineRule="auto"/>
              <w:widowControl/>
              <w:rPr>
                <w:rFonts w:ascii="宋体" w:hAnsi="宋体" w:cs="宋体"/>
                <w:color w:val="auto"/>
                <w:sz w:val="24"/>
                <w:highlight w:val="none"/>
              </w:rPr>
            </w:pP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HYPERLINK "http://cx.cnca.cn/CertECloud/index/index/page?currentPosition="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 xml:space="preserve">http://cx.cnca.cn/CertECloud/index/index/page?currentPosition=</w:t>
            </w:r>
            <w:r>
              <w:rPr>
                <w:rFonts w:hint="eastAsia" w:ascii="宋体" w:hAnsi="宋体" w:cs="宋体"/>
                <w:b/>
                <w:bCs/>
                <w:color w:val="auto"/>
                <w:sz w:val="24"/>
                <w:highlight w:val="none"/>
              </w:rPr>
              <w:fldChar w:fldCharType="end"/>
            </w:r>
            <w:r>
              <w:rPr>
                <w:rFonts w:hint="eastAsia" w:ascii="宋体" w:hAnsi="宋体" w:cs="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ind w:firstLine="240"/>
              <w:spacing w:line="276" w:lineRule="auto"/>
              <w:widowControl/>
              <w:rPr>
                <w:rFonts w:hint="eastAsia" w:ascii="宋体" w:hAnsi="宋体" w:eastAsia="宋体"/>
                <w:color w:val="auto"/>
                <w:sz w:val="24"/>
                <w:highlight w:val="none"/>
                <w:lang w:eastAsia="zh-CN"/>
              </w:rPr>
            </w:pPr>
            <w:r>
              <w:rPr>
                <w:rFonts w:hint="eastAsia" w:ascii="宋体" w:hAnsi="宋体" w:cs="宋体"/>
                <w:color w:val="auto"/>
                <w:sz w:val="24"/>
                <w:highlight w:val="none"/>
                <w:lang w:val="en-US" w:eastAsia="zh-CN"/>
              </w:rPr>
              <w:t xml:space="preserve">8</w:t>
            </w:r>
            <w:r/>
          </w:p>
        </w:tc>
      </w:tr>
      <w:tr>
        <w:trPr>
          <w:jc w:val="center"/>
          <w:trHeight w:val="950"/>
        </w:trPr>
        <w:tc>
          <w:tcPr>
            <w:tcBorders>
              <w:top w:val="single" w:color="auto" w:sz="8" w:space="0"/>
              <w:left w:val="single" w:color="auto" w:sz="8" w:space="0"/>
              <w:bottom w:val="single" w:color="auto" w:sz="8" w:space="0"/>
              <w:right w:val="single" w:color="auto" w:sz="8" w:space="0"/>
            </w:tcBorders>
            <w:tcW w:w="1260" w:type="dxa"/>
            <w:vAlign w:val="center"/>
            <w:vMerge w:val="continue"/>
            <w:textDirection w:val="lrTb"/>
            <w:noWrap w:val="false"/>
          </w:tcPr>
          <w:p>
            <w:pPr>
              <w:jc w:val="left"/>
              <w:widowControl/>
              <w:rPr>
                <w:rFonts w:ascii="宋体" w:hAnsi="宋体"/>
                <w:b/>
                <w:bCs/>
                <w:color w:val="auto"/>
                <w:sz w:val="24"/>
                <w:highlight w:val="none"/>
              </w:rPr>
            </w:pPr>
            <w:r>
              <w:rPr>
                <w:rFonts w:ascii="宋体" w:hAnsi="宋体"/>
                <w:b/>
                <w:bCs/>
                <w:color w:val="auto"/>
                <w:sz w:val="24"/>
                <w:highlight w:val="none"/>
              </w:rPr>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jc w:val="cente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企业管理服务体系认证</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1.具有餐饮企业现场管理评价认证证书（5A级）（2分）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2.具有食品安全管理体系认证证书（2分）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具有</w:t>
            </w:r>
            <w:r>
              <w:rPr>
                <w:rFonts w:hint="eastAsia" w:ascii="宋体" w:hAnsi="宋体" w:cs="宋体"/>
                <w:color w:val="auto"/>
                <w:sz w:val="24"/>
                <w:highlight w:val="none"/>
              </w:rPr>
              <w:t xml:space="preserve">应急预案管理能力评价认证证书（2分）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4.具有诚信管理体系认证证书（2分）</w:t>
            </w:r>
            <w:r/>
          </w:p>
          <w:p>
            <w:pPr>
              <w:spacing w:line="276"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5.具有食品可追溯信息化管理体系认证证书</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6.具有绿色餐饮管理体系认证证书</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spacing w:line="276"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注：提供有效证书扫描件加盖电子签章，同时提供国家认证认可监督管理委员会官网查询截图并加盖供应商电子签章，缺项或未提供均不得分。</w:t>
            </w:r>
            <w:r/>
          </w:p>
          <w:p>
            <w:pPr>
              <w:spacing w:line="276"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查询网址：</w:t>
            </w:r>
            <w:r/>
          </w:p>
          <w:p>
            <w:pPr>
              <w:ind w:firstLine="482"/>
              <w:spacing w:line="276"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http://cx.cnca.cn/CertECloud/index/index/page?currentPosition=</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ind w:firstLine="240"/>
              <w:spacing w:line="27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r>
      <w:tr>
        <w:trPr>
          <w:jc w:val="center"/>
          <w:trHeight w:val="950"/>
        </w:trPr>
        <w:tc>
          <w:tcPr>
            <w:tcBorders>
              <w:top w:val="single" w:color="auto" w:sz="8" w:space="0"/>
              <w:left w:val="single" w:color="auto" w:sz="8" w:space="0"/>
              <w:bottom w:val="single" w:color="auto" w:sz="8" w:space="0"/>
              <w:right w:val="single" w:color="auto" w:sz="8" w:space="0"/>
            </w:tcBorders>
            <w:tcW w:w="1260" w:type="dxa"/>
            <w:vAlign w:val="center"/>
            <w:vMerge w:val="continue"/>
            <w:textDirection w:val="lrTb"/>
            <w:noWrap w:val="false"/>
          </w:tcPr>
          <w:p>
            <w:pPr>
              <w:jc w:val="left"/>
              <w:widowControl/>
              <w:rPr>
                <w:rFonts w:ascii="宋体" w:hAnsi="宋体"/>
                <w:b/>
                <w:bCs/>
                <w:color w:val="auto"/>
                <w:sz w:val="24"/>
                <w:highlight w:val="none"/>
              </w:rPr>
            </w:pPr>
            <w:r>
              <w:rPr>
                <w:rFonts w:ascii="宋体" w:hAnsi="宋体"/>
                <w:b/>
                <w:bCs/>
                <w:color w:val="auto"/>
                <w:sz w:val="24"/>
                <w:highlight w:val="none"/>
              </w:rPr>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jc w:val="center"/>
              <w:spacing w:line="27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人员配置</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1.项目经理（</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具备高级餐饮职业经理人证书得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分、具备高级营养师证书得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分、具备食品安全管理员培训证书得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2.厨师（</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具备中式烹调师</w:t>
            </w:r>
            <w:r>
              <w:rPr>
                <w:rFonts w:hint="eastAsia" w:ascii="宋体" w:hAnsi="宋体" w:cs="宋体"/>
                <w:color w:val="auto"/>
                <w:sz w:val="24"/>
                <w:highlight w:val="none"/>
                <w:lang w:val="en-US" w:eastAsia="zh-CN"/>
              </w:rPr>
              <w:t xml:space="preserve">高级</w:t>
            </w:r>
            <w:r>
              <w:rPr>
                <w:rFonts w:hint="eastAsia" w:ascii="宋体" w:hAnsi="宋体" w:cs="宋体"/>
                <w:color w:val="auto"/>
                <w:sz w:val="24"/>
                <w:highlight w:val="none"/>
              </w:rPr>
              <w:t xml:space="preserve">（国家职业资格</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级）及以上证书，提供证书得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分；持有食品安全管理员培训证书得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line="276"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3.帮厨（4分）</w:t>
            </w:r>
            <w:r/>
          </w:p>
          <w:p>
            <w:pPr>
              <w:spacing w:line="276"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具备中式烹调师初级及以上证书，提供证书得2分，持有食品安全管理员培训证书得2分，</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p>
          <w:p>
            <w:pPr>
              <w:ind w:firstLine="482"/>
              <w:spacing w:line="276"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注：提供以上证书扫描件及近6个月（不含磋商当月）任意1个月的社保证明（要求：应载明缴费单位名称、姓名、缴费时间，并盖有社保中心章或社保中心参保缴费证明电子专用章）扫描件加盖供应商电子签章作为得分依据。缺项或未提供均不得分。</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14</w:t>
            </w:r>
            <w:r/>
          </w:p>
        </w:tc>
      </w:tr>
      <w:tr>
        <w:trPr>
          <w:jc w:val="center"/>
          <w:trHeight w:val="765"/>
        </w:trPr>
        <w:tc>
          <w:tcPr>
            <w:tcBorders>
              <w:top w:val="single" w:color="auto" w:sz="8" w:space="0"/>
              <w:left w:val="single" w:color="auto" w:sz="8" w:space="0"/>
              <w:right w:val="single" w:color="auto" w:sz="8" w:space="0"/>
            </w:tcBorders>
            <w:tcW w:w="1260" w:type="dxa"/>
            <w:vAlign w:val="center"/>
            <w:vMerge w:val="restart"/>
            <w:textDirection w:val="lrTb"/>
            <w:noWrap w:val="false"/>
          </w:tcPr>
          <w:p>
            <w:pPr>
              <w:jc w:val="center"/>
              <w:spacing w:line="276" w:lineRule="auto"/>
              <w:widowControl/>
              <w:rPr>
                <w:rFonts w:ascii="宋体" w:hAnsi="宋体"/>
                <w:b/>
                <w:bCs/>
                <w:color w:val="auto"/>
                <w:sz w:val="24"/>
                <w:highlight w:val="none"/>
              </w:rPr>
            </w:pPr>
            <w:r>
              <w:rPr>
                <w:rFonts w:hint="eastAsia" w:ascii="宋体" w:hAnsi="宋体"/>
                <w:b/>
                <w:bCs/>
                <w:color w:val="auto"/>
                <w:sz w:val="24"/>
                <w:highlight w:val="none"/>
              </w:rPr>
              <w:t xml:space="preserve">服务方案</w:t>
            </w:r>
            <w:r/>
          </w:p>
          <w:p>
            <w:pPr>
              <w:jc w:val="center"/>
              <w:spacing w:line="276" w:lineRule="auto"/>
              <w:widowControl/>
              <w:rPr>
                <w:rFonts w:ascii="宋体" w:hAnsi="宋体"/>
                <w:b/>
                <w:bCs/>
                <w:color w:val="auto"/>
                <w:sz w:val="24"/>
                <w:highlight w:val="none"/>
              </w:rPr>
            </w:pPr>
            <w:r>
              <w:rPr>
                <w:rFonts w:hint="eastAsia" w:ascii="宋体" w:hAnsi="宋体"/>
                <w:b/>
                <w:bCs/>
                <w:color w:val="auto"/>
                <w:sz w:val="24"/>
                <w:highlight w:val="none"/>
              </w:rPr>
              <w:t xml:space="preserve">（3</w:t>
            </w:r>
            <w:r>
              <w:rPr>
                <w:rFonts w:hint="eastAsia" w:ascii="宋体" w:hAnsi="宋体"/>
                <w:b/>
                <w:bCs/>
                <w:color w:val="auto"/>
                <w:sz w:val="24"/>
                <w:highlight w:val="none"/>
                <w:lang w:val="en-US" w:eastAsia="zh-CN"/>
              </w:rPr>
              <w:t xml:space="preserve">0</w:t>
            </w:r>
            <w:r>
              <w:rPr>
                <w:rFonts w:hint="eastAsia" w:ascii="宋体" w:hAnsi="宋体"/>
                <w:b/>
                <w:bCs/>
                <w:color w:val="auto"/>
                <w:sz w:val="24"/>
                <w:highlight w:val="none"/>
              </w:rPr>
              <w:t xml:space="preserve">分）</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管理服务的整体方案和策划思路</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1、方案全面、合理，具有针对性、科学合理的得5分；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2、方案考虑得相对不够全面，但依旧具备可行性的得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3、方案不全面，不具备可行性得1分；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4、未提供相关内容不得分。</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r>
      <w:tr>
        <w:trPr>
          <w:jc w:val="center"/>
          <w:trHeight w:val="765"/>
        </w:trPr>
        <w:tc>
          <w:tcPr>
            <w:tcBorders>
              <w:left w:val="single" w:color="auto" w:sz="8" w:space="0"/>
              <w:right w:val="single" w:color="auto" w:sz="8" w:space="0"/>
            </w:tcBorders>
            <w:tcW w:w="1260" w:type="dxa"/>
            <w:vAlign w:val="center"/>
            <w:vMerge w:val="continue"/>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项目管理机构设置及管理制度（包括项目机构运作流程、管理制度等）</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1、方案全面、合理，具有针对性、科学合理的得5分；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2、方案考虑得相对不够全面，但依旧具备可行性的得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3、方案不全面，不具备可行性得1分；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4、未提供相关内容不得分。</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w:t>
            </w:r>
            <w:r/>
          </w:p>
        </w:tc>
      </w:tr>
      <w:tr>
        <w:trPr>
          <w:jc w:val="center"/>
          <w:trHeight w:val="765"/>
        </w:trPr>
        <w:tc>
          <w:tcPr>
            <w:tcBorders>
              <w:left w:val="single" w:color="auto" w:sz="8" w:space="0"/>
              <w:right w:val="single" w:color="auto" w:sz="8" w:space="0"/>
            </w:tcBorders>
            <w:tcW w:w="1260" w:type="dxa"/>
            <w:vAlign w:val="center"/>
            <w:vMerge w:val="continue"/>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进场及撤场交接方案</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1、方案全面、合理，具有针对性、科学合理的得5分；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2、方案考虑得相对不够全面，但依旧具备可行性的得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3、方案不全面，不具备可行性得1分；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4、未提供相关内容不得分。</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5</w:t>
            </w:r>
            <w:r/>
          </w:p>
        </w:tc>
      </w:tr>
      <w:tr>
        <w:trPr>
          <w:jc w:val="center"/>
          <w:trHeight w:val="765"/>
        </w:trPr>
        <w:tc>
          <w:tcPr>
            <w:tcBorders>
              <w:left w:val="single" w:color="auto" w:sz="8" w:space="0"/>
              <w:right w:val="single" w:color="auto" w:sz="8" w:space="0"/>
            </w:tcBorders>
            <w:tcW w:w="1260" w:type="dxa"/>
            <w:vAlign w:val="center"/>
            <w:vMerge w:val="continue"/>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项目负责人工作方案</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1、方案全面、合理，具有针对性、科学合理的得5分；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2、方案考虑得相对不够全面，但依旧具备可行性的得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3、方案不全面，不具备可行性得1分；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4、未提供相关内容不得分。</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5</w:t>
            </w:r>
            <w:r/>
          </w:p>
        </w:tc>
      </w:tr>
      <w:tr>
        <w:trPr>
          <w:jc w:val="center"/>
          <w:trHeight w:val="765"/>
        </w:trPr>
        <w:tc>
          <w:tcPr>
            <w:tcBorders>
              <w:left w:val="single" w:color="auto" w:sz="8" w:space="0"/>
              <w:right w:val="single" w:color="auto" w:sz="8" w:space="0"/>
            </w:tcBorders>
            <w:tcW w:w="1260" w:type="dxa"/>
            <w:vAlign w:val="center"/>
            <w:vMerge w:val="continue"/>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应急事件处理预案</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1、方案全面、合理，具有针对性、科学合理的得5分；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2、方案考虑得相对不够全面，但依旧具备可行性的得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3、方案不全面，不具备可行性得1分；</w:t>
            </w:r>
            <w:r/>
          </w:p>
          <w:p>
            <w:pPr>
              <w:spacing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4、未提供相关内容不得分。</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5</w:t>
            </w:r>
            <w:r/>
          </w:p>
        </w:tc>
      </w:tr>
      <w:tr>
        <w:trPr>
          <w:jc w:val="center"/>
          <w:trHeight w:val="765"/>
        </w:trPr>
        <w:tc>
          <w:tcPr>
            <w:tcBorders>
              <w:left w:val="single" w:color="auto" w:sz="8" w:space="0"/>
              <w:bottom w:val="single" w:color="auto" w:sz="8" w:space="0"/>
              <w:right w:val="single" w:color="auto" w:sz="8" w:space="0"/>
            </w:tcBorders>
            <w:tcW w:w="1260" w:type="dxa"/>
            <w:vAlign w:val="center"/>
            <w:vMerge w:val="continue"/>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r>
            <w:r/>
          </w:p>
        </w:tc>
        <w:tc>
          <w:tcPr>
            <w:tcBorders>
              <w:top w:val="single" w:color="auto" w:sz="8" w:space="0"/>
              <w:left w:val="single" w:color="auto" w:sz="8" w:space="0"/>
              <w:bottom w:val="single" w:color="auto" w:sz="8" w:space="0"/>
              <w:right w:val="single" w:color="auto" w:sz="8" w:space="0"/>
            </w:tcBorders>
            <w:tcW w:w="1584" w:type="dxa"/>
            <w:vAlign w:val="top"/>
            <w:textDirection w:val="lrTb"/>
            <w:noWrap w:val="false"/>
          </w:tcPr>
          <w:p>
            <w:pPr>
              <w:jc w:val="both"/>
              <w:keepLines w:val="0"/>
              <w:keepNext w:val="0"/>
              <w:pageBreakBefore w:val="0"/>
              <w:spacing w:line="276"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服务承诺、质量保证等</w:t>
            </w:r>
            <w:r/>
          </w:p>
        </w:tc>
        <w:tc>
          <w:tcPr>
            <w:tcBorders>
              <w:top w:val="single" w:color="auto" w:sz="8" w:space="0"/>
              <w:left w:val="single" w:color="auto" w:sz="8" w:space="0"/>
              <w:bottom w:val="single" w:color="auto" w:sz="8" w:space="0"/>
              <w:right w:val="single" w:color="auto" w:sz="8" w:space="0"/>
            </w:tcBorders>
            <w:tcW w:w="6524" w:type="dxa"/>
            <w:vAlign w:val="center"/>
            <w:textDirection w:val="lrTb"/>
            <w:noWrap w:val="false"/>
          </w:tcPr>
          <w:p>
            <w:pPr>
              <w:numPr>
                <w:ilvl w:val="0"/>
                <w:numId w:val="0"/>
              </w:numPr>
              <w:spacing w:line="276" w:lineRule="auto"/>
              <w:widowControl/>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方案全面、合理，具有针对性、科学合理的得5分</w:t>
            </w:r>
            <w:r/>
          </w:p>
          <w:p>
            <w:pPr>
              <w:numPr>
                <w:ilvl w:val="0"/>
                <w:numId w:val="0"/>
              </w:numPr>
              <w:ind w:left="0" w:firstLine="0"/>
              <w:spacing w:line="276" w:lineRule="auto"/>
              <w:widowControl/>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方案考虑得相对不够全面，但依旧具备可行性的得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方案不全面，不具备可行性得1分；</w:t>
            </w:r>
            <w:r/>
          </w:p>
          <w:p>
            <w:pPr>
              <w:numPr>
                <w:ilvl w:val="0"/>
                <w:numId w:val="0"/>
              </w:numPr>
              <w:ind w:left="0" w:firstLine="0"/>
              <w:spacing w:line="276" w:lineRule="auto"/>
              <w:widowControl/>
              <w:rPr>
                <w:rFonts w:hint="eastAsia" w:ascii="宋体" w:hAnsi="宋体" w:cs="宋体"/>
                <w:color w:val="auto"/>
                <w:sz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highlight w:val="none"/>
              </w:rPr>
              <w:t xml:space="preserve">未提供相关内容不得分。</w:t>
            </w:r>
            <w:r/>
          </w:p>
        </w:tc>
        <w:tc>
          <w:tcPr>
            <w:tcBorders>
              <w:top w:val="single" w:color="auto" w:sz="8" w:space="0"/>
              <w:left w:val="single" w:color="auto" w:sz="8" w:space="0"/>
              <w:bottom w:val="single" w:color="auto" w:sz="8" w:space="0"/>
              <w:right w:val="single" w:color="auto" w:sz="8" w:space="0"/>
            </w:tcBorders>
            <w:tcW w:w="733" w:type="dxa"/>
            <w:vAlign w:val="center"/>
            <w:textDirection w:val="lrTb"/>
            <w:noWrap w:val="false"/>
          </w:tcPr>
          <w:p>
            <w:pPr>
              <w:jc w:val="center"/>
              <w:spacing w:line="276"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5</w:t>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w:t>
      </w:r>
      <w:r/>
    </w:p>
    <w:p>
      <w:pPr>
        <w:ind w:firstLine="559"/>
        <w:spacing w:line="480" w:lineRule="exact"/>
        <w:tabs>
          <w:tab w:val="left" w:pos="2850" w:leader="none"/>
          <w:tab w:val="center" w:pos="4153"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、以上评分标准中评分的每一条，各供应商均应提供相关的资料并作出相应的对比供评分评判。</w:t>
      </w:r>
      <w:r/>
    </w:p>
    <w:p>
      <w:pPr>
        <w:ind w:firstLine="559"/>
        <w:spacing w:line="480" w:lineRule="exact"/>
        <w:tabs>
          <w:tab w:val="left" w:pos="2850" w:leader="none"/>
          <w:tab w:val="center" w:pos="4153" w:leader="none"/>
        </w:tabs>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、磋商响应文件中如出现前后不一致时</w:t>
      </w:r>
      <w:r>
        <w:rPr>
          <w:rFonts w:ascii="宋体" w:hAnsi="宋体"/>
          <w:color w:val="auto"/>
          <w:sz w:val="24"/>
          <w:szCs w:val="24"/>
          <w:highlight w:val="none"/>
        </w:rPr>
        <w:t xml:space="preserve">,</w:t>
      </w:r>
      <w:r>
        <w:rPr>
          <w:rFonts w:hint="eastAsia" w:ascii="宋体" w:hAnsi="宋体"/>
          <w:color w:val="auto"/>
          <w:sz w:val="24"/>
          <w:szCs w:val="24"/>
          <w:highlight w:val="none"/>
        </w:rPr>
        <w:t xml:space="preserve">评委会有权请供应商澄清说明</w:t>
      </w:r>
      <w:r>
        <w:rPr>
          <w:rFonts w:ascii="宋体" w:hAnsi="宋体"/>
          <w:color w:val="auto"/>
          <w:sz w:val="24"/>
          <w:szCs w:val="24"/>
          <w:highlight w:val="none"/>
        </w:rPr>
        <w:t xml:space="preserve">,</w:t>
      </w:r>
      <w:r>
        <w:rPr>
          <w:rFonts w:hint="eastAsia" w:ascii="宋体" w:hAnsi="宋体"/>
          <w:color w:val="auto"/>
          <w:sz w:val="24"/>
          <w:szCs w:val="24"/>
          <w:highlight w:val="none"/>
        </w:rPr>
        <w:t xml:space="preserve">澄清说明事项涉及评分时，该项不得分。</w:t>
      </w:r>
      <w:r/>
    </w:p>
    <w:p>
      <w:pPr>
        <w:ind w:firstLine="559"/>
        <w:spacing w:line="480" w:lineRule="exact"/>
        <w:tabs>
          <w:tab w:val="left" w:pos="2850" w:leader="none"/>
          <w:tab w:val="center" w:pos="4153" w:leader="none"/>
        </w:tabs>
        <w:rPr>
          <w:rFonts w:hint="eastAsia" w:ascii="宋体" w:hAnsi="宋体" w:eastAsia="宋体"/>
          <w:color w:val="auto"/>
          <w:sz w:val="24"/>
          <w:highlight w:val="none"/>
          <w:lang w:eastAsia="zh-CN"/>
        </w:rPr>
        <w:sectPr>
          <w:footerReference w:type="default" r:id="rId11"/>
          <w:footnotePr/>
          <w:endnotePr/>
          <w:type w:val="nextPage"/>
          <w:pgSz w:w="11907" w:h="16840" w:orient="portrait"/>
          <w:pgMar w:top="1077" w:right="1083" w:bottom="1134" w:left="1083" w:header="851" w:footer="851" w:gutter="0"/>
          <w:cols w:num="1" w:sep="0" w:space="720" w:equalWidth="1"/>
          <w:docGrid w:linePitch="360"/>
        </w:sect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、各供应商所提供的商务、</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、业绩资料应全部真实，如有伪造，视作供应商自动放弃参加磋商及中标资格，并视作供应商接受相关处罚。</w:t>
      </w:r>
      <w:r/>
    </w:p>
    <w:p>
      <w:pPr>
        <w:contextualSpacing/>
        <w:ind w:firstLine="2570"/>
        <w:spacing w:line="360" w:lineRule="auto"/>
        <w:tabs>
          <w:tab w:val="left" w:pos="900"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第五章  合同条款及格式</w:t>
      </w:r>
      <w:r/>
    </w:p>
    <w:p>
      <w:pPr>
        <w:jc w:val="center"/>
        <w:rPr>
          <w:rFonts w:ascii="宋体" w:hAnsi="宋体" w:cs="宋体"/>
          <w:b/>
          <w:bCs/>
          <w:color w:val="auto"/>
          <w:sz w:val="32"/>
          <w:szCs w:val="32"/>
          <w:highlight w:val="none"/>
        </w:rPr>
      </w:pPr>
      <w:r/>
      <w:bookmarkStart w:id="151" w:name="_Toc14988"/>
      <w:r/>
      <w:bookmarkStart w:id="152" w:name="_Toc29766"/>
      <w:r/>
      <w:bookmarkStart w:id="153" w:name="_Toc24096"/>
      <w:r/>
      <w:bookmarkStart w:id="154" w:name="_Toc1628"/>
      <w:r/>
      <w:bookmarkStart w:id="155" w:name="_Toc29417"/>
      <w:r/>
      <w:bookmarkStart w:id="156" w:name="_Toc27313"/>
      <w:r/>
      <w:bookmarkStart w:id="157" w:name="_Toc7788"/>
      <w:r/>
      <w:bookmarkStart w:id="158" w:name="_Toc25843"/>
      <w:r/>
      <w:bookmarkStart w:id="159" w:name="_Toc25776"/>
      <w:r/>
      <w:bookmarkStart w:id="160" w:name="_Toc1718"/>
      <w:r/>
      <w:r/>
    </w:p>
    <w:p>
      <w:pPr>
        <w:pStyle w:val="1115"/>
        <w:ind w:left="420"/>
        <w:rPr>
          <w:rStyle w:val="1116"/>
          <w:rFonts w:ascii="宋体" w:hAnsi="宋体" w:cs="宋体"/>
          <w:color w:val="auto"/>
          <w:sz w:val="32"/>
          <w:szCs w:val="32"/>
          <w:highlight w:val="none"/>
        </w:rPr>
      </w:pPr>
      <w:r/>
      <w:bookmarkStart w:id="161" w:name="_Toc186515170"/>
      <w:r/>
      <w:bookmarkStart w:id="162" w:name="_Toc168227940"/>
      <w:r/>
      <w:bookmarkStart w:id="163" w:name="_Toc185670844"/>
      <w:r/>
      <w:bookmarkStart w:id="164" w:name="_Toc258313648"/>
      <w:r/>
      <w:bookmarkStart w:id="165" w:name="_Toc185671412"/>
      <w:r/>
      <w:bookmarkStart w:id="166" w:name="_Toc185672381"/>
      <w:r/>
      <w:bookmarkStart w:id="167" w:name="_Toc214682915"/>
      <w:r/>
      <w:bookmarkStart w:id="168" w:name="_Toc185412941"/>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（以下简称甲方）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（以下简称乙方）</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甲乙双方根据******项目竞争性磋商采购结果及采购文件的要求,经协商一致,达成如下采购服务合同:</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一、采购标的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2.服务内容：参照磋商文件的具体要求。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3.服务期限：</w:t>
      </w:r>
      <w:r>
        <w:rPr>
          <w:rFonts w:hint="eastAsia" w:ascii="宋体" w:hAnsi="宋体" w:cs="宋体"/>
          <w:color w:val="auto"/>
          <w:sz w:val="24"/>
          <w:szCs w:val="24"/>
          <w:highlight w:val="none"/>
          <w:lang w:eastAsia="zh-CN"/>
        </w:rPr>
        <w:t xml:space="preserve">2025年12月-2026年11月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4.补充条款：</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二、合同价款：</w:t>
      </w:r>
      <w:r>
        <w:rPr>
          <w:rFonts w:hint="eastAsia" w:ascii="宋体" w:hAnsi="宋体" w:cs="宋体"/>
          <w:color w:val="auto"/>
          <w:sz w:val="24"/>
          <w:szCs w:val="24"/>
          <w:highlight w:val="none"/>
        </w:rPr>
        <w:t xml:space="preserve">本合同总价款人民币￥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bookmarkStart w:id="169" w:name="hetong_money"/>
      <w:r/>
      <w:bookmarkEnd w:id="169"/>
      <w:r>
        <w:rPr>
          <w:rFonts w:hint="eastAsia" w:ascii="宋体" w:hAnsi="宋体" w:cs="宋体"/>
          <w:color w:val="auto"/>
          <w:sz w:val="24"/>
          <w:szCs w:val="24"/>
          <w:highlight w:val="none"/>
        </w:rPr>
        <w:t xml:space="preserve">，大写</w:t>
      </w:r>
      <w:bookmarkStart w:id="170" w:name="hetong_bigmoney"/>
      <w:r/>
      <w:bookmarkEnd w:id="170"/>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本合同价款包含所有乙方提供合同约定的服务内容的报酬及乙方提供该项服务所支出的必要费用，甲方在上述合同价款之外不再向乙方支付其他任何费用。</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三、合同履行：</w:t>
      </w:r>
      <w:r>
        <w:rPr>
          <w:rFonts w:hint="eastAsia" w:ascii="宋体" w:hAnsi="宋体" w:cs="宋体"/>
          <w:color w:val="auto"/>
          <w:sz w:val="24"/>
          <w:szCs w:val="24"/>
          <w:highlight w:val="none"/>
        </w:rPr>
        <w:t xml:space="preserve">本合同项下服务的提供参照招标文件的具体要求履行，甲乙双方通过补充条款进行特殊约定的从其约定。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补充条款：            。</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四、验收：</w:t>
      </w:r>
      <w:r>
        <w:rPr>
          <w:rFonts w:hint="eastAsia" w:ascii="宋体" w:hAnsi="宋体" w:cs="宋体"/>
          <w:color w:val="auto"/>
          <w:sz w:val="24"/>
          <w:szCs w:val="24"/>
          <w:highlight w:val="none"/>
        </w:rPr>
        <w:t xml:space="preserve">甲方在合同履行期间，有权依照招标文件相关要求对乙方提供的相关服务或交付的工作成果进行阶段性验收及/或总体验收。如需委托第三方验收，验收费用由乙方承担。因乙方提供的服务不符合标准导致甲方重复支出的验收费用，由乙方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验收不合格的，乙方应当按照甲方要求在指定的合理期限内进行整改和完善，直至符合招标文件要求的相关标准。逾期不予整改或经整改后仍不能符合相关要求，或者导致合同目的无法实现，甲方有权依照法律程序解除合同，并追究乙方违约责任。</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五、合同责任：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1.甲方应当为乙方履行合同提供必要的支持。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3.乙方在履行合同中产生的一切非因甲方过错导致的损失，均由乙方自行承担责任。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4.甲乙双方均应指定专人作为本合同履行期间双方之间的联络人，所有一方向相对方正式知会事项的，通知到达相对方指定联络人即视为到达对方。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甲方指定联络人：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bookmarkStart w:id="171" w:name="purchase_relation_name"/>
      <w:r/>
      <w:bookmarkEnd w:id="171"/>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172" w:name="purchase_relation_tel"/>
      <w:r/>
      <w:bookmarkEnd w:id="172"/>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乙方指定联络人：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bookmarkStart w:id="173" w:name="supplier_relation_name"/>
      <w:r/>
      <w:bookmarkEnd w:id="173"/>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174" w:name="supplier_relation_tel"/>
      <w:r/>
      <w:bookmarkEnd w:id="174"/>
      <w:r/>
      <w:r/>
    </w:p>
    <w:p>
      <w:pPr>
        <w:numPr>
          <w:ilvl w:val="0"/>
          <w:numId w:val="0"/>
        </w:num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cs="宋体"/>
          <w:b/>
          <w:bCs/>
          <w:color w:val="auto"/>
          <w:sz w:val="24"/>
          <w:szCs w:val="24"/>
          <w:highlight w:val="none"/>
        </w:rPr>
        <w:t xml:space="preserve">履约保证金：</w:t>
      </w:r>
      <w:r/>
    </w:p>
    <w:p>
      <w:pPr>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1.</w:t>
      </w:r>
      <w:r>
        <w:rPr>
          <w:rFonts w:hint="eastAsia" w:ascii="宋体" w:hAnsi="宋体" w:cs="宋体"/>
          <w:color w:val="auto"/>
          <w:sz w:val="24"/>
          <w:szCs w:val="24"/>
          <w:highlight w:val="none"/>
        </w:rPr>
        <w:t xml:space="preserve">履约保证金金额：中标价的10%。</w:t>
      </w:r>
      <w:r/>
    </w:p>
    <w:p>
      <w:pPr>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提交时间：收到成交通知书后，并在签订合同前提交。</w:t>
      </w:r>
      <w:r/>
    </w:p>
    <w:p>
      <w:pPr>
        <w:numPr>
          <w:ilvl w:val="0"/>
          <w:numId w:val="0"/>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履约保证金形式：支票、汇票、本票、履约保函（保险）等法律法规允许的非现金形式，具体与采购人商定。</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七、费用与支付：</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合同签订后，成交供应商按照合同约定时间进场提供服务。管理服务费以每季度开票结算一次。在第二个季度的第一个月的上旬，采购人向成交供应商通报考核情况、测算支付金额。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2.付款时，成交供应商向采购人提交正式发票。发票上需写明单位名称。</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八、保密条款：</w:t>
      </w:r>
      <w:r>
        <w:rPr>
          <w:rFonts w:hint="eastAsia" w:ascii="宋体" w:hAnsi="宋体" w:cs="宋体"/>
          <w:color w:val="auto"/>
          <w:sz w:val="24"/>
          <w:szCs w:val="24"/>
          <w:highlight w:val="none"/>
        </w:rPr>
        <w:t xml:space="preserve">乙方不得将在履行本合同中知悉的甲方任何信息随意泄露、擅自使用。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如违反本条款规定，乙方应当承担如下责任：</w:t>
      </w:r>
      <w:r>
        <w:rPr>
          <w:rFonts w:hint="eastAsia" w:ascii="宋体" w:hAnsi="宋体" w:cs="宋体"/>
          <w:color w:val="auto"/>
          <w:sz w:val="24"/>
          <w:szCs w:val="24"/>
          <w:highlight w:val="none"/>
          <w:u w:val="single"/>
        </w:rPr>
        <w:t xml:space="preserve">乙方需承担因此给甲方造成的所有直接和间接损失</w:t>
      </w:r>
      <w:r>
        <w:rPr>
          <w:rFonts w:hint="eastAsia" w:ascii="宋体" w:hAnsi="宋体" w:cs="宋体"/>
          <w:color w:val="auto"/>
          <w:sz w:val="24"/>
          <w:szCs w:val="24"/>
          <w:highlight w:val="none"/>
        </w:rPr>
        <w:t xml:space="preserve">。</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九、合同纠纷处理：</w:t>
      </w:r>
      <w:r>
        <w:rPr>
          <w:rFonts w:hint="eastAsia" w:ascii="宋体" w:hAnsi="宋体" w:cs="宋体"/>
          <w:color w:val="auto"/>
          <w:sz w:val="24"/>
          <w:szCs w:val="24"/>
          <w:highlight w:val="none"/>
        </w:rPr>
        <w:t xml:space="preserve">本合同执行过程中发生纠纷，由甲乙双方协商处理，若协商不成，双方一致同意作如下</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1.申请仲裁。选定仲裁机构为泰州市仲裁委员会。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2.提起诉讼。约定由采购人所在地法院管辖。</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十、合同生效：</w:t>
      </w:r>
      <w:r>
        <w:rPr>
          <w:rFonts w:hint="eastAsia" w:ascii="宋体" w:hAnsi="宋体" w:cs="宋体"/>
          <w:color w:val="auto"/>
          <w:sz w:val="24"/>
          <w:szCs w:val="24"/>
          <w:highlight w:val="none"/>
        </w:rPr>
        <w:t xml:space="preserve">本合同由甲乙双方签字盖章后生效。</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十一、组成本合同的文件包括：</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（一）合同通用条款和专用条款；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（二）采购文件和乙方的响应文件；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（三）中标通知书；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（四）甲乙双方商定的其他必要文件。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上述合同文件内容互为补充，如有不明确，由甲方负责解释。</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十二、合同生效及其他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1.本合同自签订之日起生效。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2.本合同一式_____份，甲乙双方各执____份，1份交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存档，1份报送政府采购监督管理部门备案。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为甲方的采购代理机构，根据甲方的授权代其采购确定乙方为中标单位，但不承担本合同规定的甲方的权利和义务。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4.本合同应按照中华人民共和国的现行法律进行解释。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甲方（采购人）： （盖章）               乙方（供应商）： （盖章）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法定代表人：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                委托代理人：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                   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                   账号：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                 单位地址：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日期：   年  月  日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见证方：            （盖章）</w:t>
      </w:r>
      <w:r/>
    </w:p>
    <w:p>
      <w:pPr>
        <w:ind w:firstLine="480"/>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日期：   年    月    日</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ind w:firstLine="2570"/>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2570"/>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2570"/>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2570"/>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2570"/>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2570"/>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570"/>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第六章  响应文件的组成和格式</w:t>
      </w:r>
      <w:bookmarkEnd w:id="149"/>
      <w:r/>
      <w:bookmarkEnd w:id="150"/>
      <w:r/>
      <w:r/>
    </w:p>
    <w:p>
      <w:pPr>
        <w:contextualSpacing/>
        <w:ind w:firstLine="420"/>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contextualSpacing/>
        <w:ind w:firstLine="420"/>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contextualSpacing/>
        <w:ind w:firstLine="420"/>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contextualSpacing/>
        <w:ind w:firstLine="422"/>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contextualSpacing/>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竞争性磋商响应文件</w:t>
      </w:r>
      <w:r/>
    </w:p>
    <w:p>
      <w:pPr>
        <w:pStyle w:val="1068"/>
        <w:contextualSpacing/>
        <w:ind w:firstLine="422"/>
        <w:jc w:val="center"/>
        <w:spacing w:before="0" w:after="0"/>
        <w:rPr>
          <w:rFonts w:ascii="宋体" w:hAnsi="宋体" w:cs="宋体"/>
          <w:b/>
          <w:bCs/>
          <w:color w:val="auto"/>
          <w:highlight w:val="none"/>
        </w:rPr>
      </w:pPr>
      <w:r>
        <w:rPr>
          <w:rFonts w:ascii="宋体" w:hAnsi="宋体" w:cs="宋体"/>
          <w:b/>
          <w:bCs/>
          <w:color w:val="auto"/>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项 目 名 称：</w:t>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项 目 编 号：</w:t>
      </w:r>
      <w:r/>
    </w:p>
    <w:p>
      <w:pPr>
        <w:contextualSpacing/>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供应商名称：</w:t>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日      期：               </w:t>
      </w:r>
      <w:r/>
    </w:p>
    <w:p>
      <w:pPr>
        <w:contextualSpacing/>
        <w:ind w:firstLine="422"/>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1068"/>
        <w:contextualSpacing/>
        <w:ind w:firstLine="420"/>
        <w:spacing w:before="0" w:after="0"/>
        <w:rPr>
          <w:rFonts w:ascii="宋体" w:hAnsi="宋体" w:cs="宋体"/>
          <w:color w:val="auto"/>
          <w:highlight w:val="none"/>
        </w:rPr>
      </w:pPr>
      <w:r>
        <w:rPr>
          <w:rFonts w:ascii="宋体" w:hAnsi="宋体" w:cs="宋体"/>
          <w:color w:val="auto"/>
          <w:highlight w:val="none"/>
        </w:rPr>
      </w:r>
      <w:r/>
    </w:p>
    <w:p>
      <w:pPr>
        <w:pStyle w:val="1068"/>
        <w:contextualSpacing/>
        <w:ind w:firstLine="420"/>
        <w:spacing w:before="0" w:after="0"/>
        <w:rPr>
          <w:rFonts w:ascii="宋体" w:hAnsi="宋体" w:cs="宋体"/>
          <w:color w:val="auto"/>
          <w:highlight w:val="none"/>
        </w:rPr>
      </w:pPr>
      <w:r>
        <w:rPr>
          <w:rFonts w:ascii="宋体" w:hAnsi="宋体" w:cs="宋体"/>
          <w:color w:val="auto"/>
          <w:highlight w:val="none"/>
        </w:rPr>
      </w:r>
      <w:r/>
    </w:p>
    <w:p>
      <w:pPr>
        <w:pStyle w:val="892"/>
        <w:ind w:left="0" w:firstLine="480"/>
        <w:jc w:val="center"/>
        <w:spacing w:line="360" w:lineRule="auto"/>
        <w:tabs>
          <w:tab w:val="left" w:pos="1276" w:leader="none"/>
        </w:tabs>
        <w:rPr>
          <w:rFonts w:ascii="宋体" w:hAnsi="宋体" w:cs="宋体"/>
          <w:b/>
          <w:bCs/>
          <w:color w:val="auto"/>
          <w:sz w:val="32"/>
          <w:szCs w:val="32"/>
          <w:highlight w:val="none"/>
        </w:rPr>
        <w:outlineLvl w:val="1"/>
      </w:pPr>
      <w:r>
        <w:rPr>
          <w:rFonts w:hint="eastAsia" w:ascii="宋体" w:hAnsi="宋体" w:cs="宋体"/>
          <w:color w:val="auto"/>
          <w:sz w:val="24"/>
          <w:highlight w:val="none"/>
        </w:rPr>
        <w:br w:type="page" w:clear="all"/>
      </w:r>
      <w:bookmarkEnd w:id="144"/>
      <w:r/>
      <w:bookmarkEnd w:id="145"/>
      <w:r/>
      <w:bookmarkEnd w:id="146"/>
      <w:r>
        <w:rPr>
          <w:rFonts w:hint="eastAsia" w:ascii="宋体" w:hAnsi="宋体" w:cs="宋体"/>
          <w:b/>
          <w:bCs/>
          <w:color w:val="auto"/>
          <w:sz w:val="32"/>
          <w:szCs w:val="32"/>
          <w:highlight w:val="none"/>
        </w:rPr>
        <w:t xml:space="preserve">目  录：</w:t>
      </w:r>
      <w:r/>
    </w:p>
    <w:p>
      <w:pPr>
        <w:pStyle w:val="85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（1）磋商响应函（格式见附件）</w:t>
      </w:r>
      <w:r/>
    </w:p>
    <w:p>
      <w:pPr>
        <w:pStyle w:val="851"/>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）供应商有效的营业执照（复印件加盖供应商公章）</w:t>
      </w:r>
      <w:r/>
    </w:p>
    <w:p>
      <w:pPr>
        <w:ind w:firstLine="480"/>
        <w:spacing w:line="360" w:lineRule="auto"/>
        <w:tabs>
          <w:tab w:val="left" w:pos="420" w:leader="none"/>
          <w:tab w:val="left" w:pos="1155" w:leader="none"/>
          <w:tab w:val="left" w:pos="1287"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供应商有效的</w:t>
      </w:r>
      <w:r>
        <w:rPr>
          <w:rFonts w:hint="eastAsia" w:ascii="宋体" w:hAnsi="宋体"/>
          <w:color w:val="auto"/>
          <w:sz w:val="24"/>
          <w:szCs w:val="24"/>
          <w:highlight w:val="none"/>
          <w:lang w:val="en-US" w:eastAsia="zh-CN"/>
        </w:rPr>
        <w:t xml:space="preserve">食品经营许可证</w:t>
      </w:r>
      <w:r>
        <w:rPr>
          <w:rFonts w:hint="eastAsia" w:ascii="宋体" w:hAnsi="宋体" w:eastAsia="宋体"/>
          <w:color w:val="auto"/>
          <w:sz w:val="24"/>
          <w:szCs w:val="24"/>
          <w:highlight w:val="none"/>
        </w:rPr>
        <w:t xml:space="preserve">（复印件加盖供应商公章）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）供应商法定代表人身份证明书</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法定代表人身份证复印件（格式见附件）</w:t>
      </w:r>
      <w:r/>
    </w:p>
    <w:p>
      <w:pPr>
        <w:ind w:firstLine="480"/>
        <w:spacing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）供应商法定代表人授权委托书</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授权代表身份证复印件（格式见附件，法定代表人亲自参加磋商的除外）</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）供应商近</w:t>
      </w: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个月中任意一个月份(不含磋商当月)的财务状况报告（资产负债表和利润表）或由会计师事务所出具的近两年中任意一个年度的审计报告和所附已审财务报告复印件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）供应商近</w:t>
      </w: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个月中任意一个月份(不含磋商当月)的依法缴纳税收的相关材料（提供相关主管部门证明或银行代扣证明）复印件 </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）供应商近</w:t>
      </w: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个月中任意一个月份(不含磋商当月)的依法缴纳社会保障资金的相关材料（提供相关主管部门证明或银行代扣证明）复印件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）参加政府采购活动前三年内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在经营活动中没有重大违法记录（格式见附件）</w:t>
      </w:r>
      <w:r/>
    </w:p>
    <w:p>
      <w:pPr>
        <w:ind w:firstLine="480"/>
        <w:spacing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）具有履行合同所必需的设备和专业技术能力（格式见附件）</w:t>
      </w:r>
      <w:r/>
    </w:p>
    <w:p>
      <w:pPr>
        <w:ind w:firstLine="480"/>
        <w:spacing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（11）承诺函</w:t>
      </w:r>
      <w:r>
        <w:rPr>
          <w:rFonts w:hint="eastAsia" w:ascii="宋体" w:hAnsi="宋体"/>
          <w:color w:val="auto"/>
          <w:sz w:val="24"/>
          <w:szCs w:val="24"/>
          <w:highlight w:val="none"/>
        </w:rPr>
        <w:t xml:space="preserve">（格式见附件）</w:t>
      </w:r>
      <w:r/>
    </w:p>
    <w:p>
      <w:pPr>
        <w:pStyle w:val="848"/>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）中小企业声明函或残疾人福利性单位声明函或监狱企业的证明资料 </w:t>
      </w:r>
      <w:r/>
    </w:p>
    <w:p>
      <w:pPr>
        <w:ind w:firstLine="480"/>
        <w:spacing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响应报价表</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）分项报价表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）服务响应及偏离表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）商务条款响应及偏离表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s="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17</w:t>
      </w:r>
      <w:r>
        <w:rPr>
          <w:rFonts w:hint="eastAsia" w:ascii="宋体" w:hAnsi="宋体"/>
          <w:color w:val="auto"/>
          <w:sz w:val="24"/>
          <w:szCs w:val="24"/>
          <w:highlight w:val="none"/>
        </w:rPr>
        <w:t xml:space="preserve">）拟投入本项目的主要人员表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）供应商基本情况表</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）服务承诺</w:t>
      </w:r>
      <w:r>
        <w:rPr>
          <w:rFonts w:hint="eastAsia" w:ascii="宋体" w:hAnsi="宋体" w:eastAsia="宋体"/>
          <w:color w:val="auto"/>
          <w:sz w:val="24"/>
          <w:szCs w:val="24"/>
          <w:highlight w:val="none"/>
        </w:rPr>
        <w:t xml:space="preserve">（格式见附件）</w:t>
      </w:r>
      <w:r/>
    </w:p>
    <w:p>
      <w:pPr>
        <w:ind w:firstLine="48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项目需求、评分标准中对应的其它所需证明材料（如有自行添加）</w:t>
      </w:r>
      <w:r/>
    </w:p>
    <w:p>
      <w:pPr>
        <w:ind w:firstLine="480"/>
        <w:spacing w:line="360" w:lineRule="auto"/>
        <w:tabs>
          <w:tab w:val="left" w:pos="900" w:leader="none"/>
        </w:tabs>
        <w:rPr>
          <w:rFonts w:ascii="宋体" w:hAnsi="宋体" w:cs="宋体"/>
          <w:b/>
          <w:bCs/>
          <w:color w:val="auto"/>
          <w:sz w:val="32"/>
          <w:szCs w:val="32"/>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其它（供应商认为有必要提供的声明和文件，如有自拟并自行添加）</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eastAsia="黑体"/>
          <w:b/>
          <w:bCs/>
          <w:color w:val="auto"/>
          <w:sz w:val="36"/>
          <w:szCs w:val="44"/>
          <w:highlight w:val="none"/>
        </w:rPr>
      </w:pPr>
      <w:r>
        <w:rPr>
          <w:rFonts w:hint="eastAsia" w:ascii="宋体" w:hAnsi="宋体" w:cs="宋体"/>
          <w:b/>
          <w:bCs/>
          <w:color w:val="auto"/>
          <w:sz w:val="32"/>
          <w:szCs w:val="32"/>
          <w:highlight w:val="none"/>
        </w:rPr>
        <w:t xml:space="preserve">一、</w:t>
      </w:r>
      <w:r>
        <w:rPr>
          <w:rFonts w:hint="eastAsia" w:eastAsia="黑体"/>
          <w:b/>
          <w:bCs/>
          <w:color w:val="auto"/>
          <w:sz w:val="32"/>
          <w:szCs w:val="40"/>
          <w:highlight w:val="none"/>
        </w:rPr>
        <w:t xml:space="preserve">磋商响应函</w:t>
      </w:r>
      <w:r/>
    </w:p>
    <w:p>
      <w:pPr>
        <w:spacing w:line="360" w:lineRule="auto"/>
        <w:rPr>
          <w:rFonts w:ascii="宋体" w:hAnsi="宋体" w:cs="宋体"/>
          <w:color w:val="auto"/>
          <w:sz w:val="32"/>
          <w:szCs w:val="24"/>
          <w:highlight w:val="none"/>
        </w:rPr>
      </w:pPr>
      <w:r>
        <w:rPr>
          <w:rFonts w:hint="eastAsia" w:ascii="宋体" w:hAnsi="宋体" w:cs="宋体"/>
          <w:bCs/>
          <w:color w:val="auto"/>
          <w:sz w:val="32"/>
          <w:szCs w:val="24"/>
          <w:highlight w:val="none"/>
        </w:rPr>
        <w:t xml:space="preserve">致：</w:t>
      </w:r>
      <w:r>
        <w:rPr>
          <w:rFonts w:hint="eastAsia" w:ascii="宋体" w:hAnsi="宋体" w:cs="宋体"/>
          <w:bCs/>
          <w:color w:val="auto"/>
          <w:sz w:val="32"/>
          <w:szCs w:val="24"/>
          <w:highlight w:val="none"/>
          <w:u w:val="single"/>
        </w:rPr>
        <w:t xml:space="preserve"> </w:t>
      </w:r>
      <w:r>
        <w:rPr>
          <w:rFonts w:hint="eastAsia" w:ascii="宋体" w:hAnsi="宋体" w:cs="宋体"/>
          <w:b/>
          <w:bCs/>
          <w:color w:val="auto"/>
          <w:sz w:val="24"/>
          <w:szCs w:val="24"/>
          <w:highlight w:val="none"/>
          <w:u w:val="single"/>
        </w:rPr>
        <w:t xml:space="preserve">（采购人）</w:t>
      </w:r>
      <w:r>
        <w:rPr>
          <w:rFonts w:hint="eastAsia" w:ascii="宋体" w:hAnsi="宋体" w:cs="宋体"/>
          <w:bCs/>
          <w:color w:val="auto"/>
          <w:sz w:val="32"/>
          <w:szCs w:val="24"/>
          <w:highlight w:val="none"/>
          <w:u w:val="single"/>
        </w:rPr>
        <w:t xml:space="preserve">            </w:t>
      </w:r>
      <w:r>
        <w:rPr>
          <w:rFonts w:hint="eastAsia" w:ascii="宋体" w:hAnsi="宋体" w:cs="宋体"/>
          <w:color w:val="auto"/>
          <w:sz w:val="32"/>
          <w:szCs w:val="24"/>
          <w:highlight w:val="none"/>
          <w:u w:val="single"/>
        </w:rPr>
        <w:t xml:space="preserve">   </w:t>
      </w:r>
      <w:r/>
    </w:p>
    <w:p>
      <w:pPr>
        <w:pStyle w:val="107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根据贵方的磋商文件，正式授权下述签字人_________ (姓名和职务)代表我方______________（供应商的名称），全权处理_________项目磋商采购的有关事宜。</w:t>
      </w:r>
      <w:r/>
    </w:p>
    <w:p>
      <w:pPr>
        <w:pStyle w:val="107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据此函，</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（签字人）兹宣布同意如下：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1.按磋商文件规定的各项要求，向采购人提供所需服务。</w:t>
      </w:r>
      <w:r/>
    </w:p>
    <w:p>
      <w:pPr>
        <w:pStyle w:val="107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2.我们已详细审核全部磋商文件及其有效补充文件，我们知道必须放弃提出含糊不清或误解问题的权利。</w:t>
      </w:r>
      <w:r/>
    </w:p>
    <w:p>
      <w:pPr>
        <w:pStyle w:val="107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3.我们同意从规定的响应文件接收截止时间起遵循本响应文件，并在规定的磋商有效期期满之前均具有约束力。</w:t>
      </w:r>
      <w:r/>
    </w:p>
    <w:p>
      <w:pPr>
        <w:pStyle w:val="107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4.如果在响应文件接收截止时间后规定的磋商有效期内撤回响应文件或成交后拒绝签订合同，我们自愿接受相关处理。</w:t>
      </w:r>
      <w:r/>
    </w:p>
    <w:p>
      <w:pPr>
        <w:pStyle w:val="107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5.同意向贵方提供贵方可能另外要求的与磋商采购有关的任何证据或资料，并保证我方已提供和将要提供的文件是真实的、准确的。</w:t>
      </w:r>
      <w:r/>
    </w:p>
    <w:p>
      <w:pPr>
        <w:ind w:firstLine="480"/>
        <w:spacing w:line="360" w:lineRule="auto"/>
        <w:tabs>
          <w:tab w:val="left" w:pos="980" w:leader="none"/>
        </w:tabs>
        <w:rPr>
          <w:rFonts w:ascii="宋体" w:hAnsi="宋体"/>
          <w:color w:val="auto"/>
          <w:sz w:val="24"/>
          <w:szCs w:val="24"/>
          <w:highlight w:val="none"/>
        </w:rPr>
      </w:pPr>
      <w:r>
        <w:rPr>
          <w:rFonts w:hint="eastAsia" w:ascii="宋体" w:hAnsi="宋体"/>
          <w:color w:val="auto"/>
          <w:sz w:val="24"/>
          <w:szCs w:val="24"/>
          <w:highlight w:val="none"/>
        </w:rPr>
        <w:t xml:space="preserve">6．我们郑重声明：本单位未为此次投标项目提供过整体设计、规范编制或者项目管理、监理、检测等服务；</w:t>
      </w:r>
      <w:r>
        <w:rPr>
          <w:rFonts w:hint="eastAsia" w:ascii="宋体" w:hAnsi="宋体"/>
          <w:color w:val="auto"/>
          <w:sz w:val="24"/>
          <w:szCs w:val="32"/>
          <w:highlight w:val="none"/>
        </w:rPr>
        <w:t xml:space="preserve">与本次参加磋商的其他供应商不存在“法定代表人/</w:t>
      </w:r>
      <w:r>
        <w:rPr>
          <w:rFonts w:ascii="宋体" w:hAnsi="宋体"/>
          <w:color w:val="auto"/>
          <w:sz w:val="24"/>
          <w:szCs w:val="32"/>
          <w:highlight w:val="none"/>
        </w:rPr>
        <w:t xml:space="preserve">单位负责人为同一人或者存在直接控股、管理关系”的情形。</w:t>
      </w:r>
      <w:r/>
    </w:p>
    <w:p>
      <w:pPr>
        <w:pStyle w:val="1077"/>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.一旦我方成交，我方将根据磋商文件的规定，严格履行合同的责任和义务，并保证在磋商文件规定的时间完成项目，交付采购人验收、使用。</w:t>
      </w:r>
      <w:r/>
    </w:p>
    <w:p>
      <w:pPr>
        <w:pStyle w:val="1077"/>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.遵守磋商文件中要求的收费项目和标准。</w:t>
      </w:r>
      <w:r/>
    </w:p>
    <w:p>
      <w:pPr>
        <w:pStyle w:val="1077"/>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.与本磋商采购有关的正式通讯地址为：</w:t>
      </w:r>
      <w:r/>
    </w:p>
    <w:p>
      <w:pPr>
        <w:pStyle w:val="107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 址：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邮 编：</w:t>
      </w:r>
      <w:r/>
    </w:p>
    <w:p>
      <w:pPr>
        <w:pStyle w:val="1077"/>
        <w:ind w:firstLine="480"/>
        <w:spacing w:line="360" w:lineRule="auto"/>
        <w:rPr>
          <w:rFonts w:ascii="宋体" w:hAnsi="宋体" w:cs="宋体"/>
          <w:color w:val="auto"/>
          <w:highlight w:val="none"/>
        </w:rPr>
      </w:pPr>
      <w:r>
        <w:rPr>
          <w:rFonts w:hint="eastAsia" w:ascii="宋体" w:hAnsi="宋体"/>
          <w:color w:val="auto"/>
          <w:sz w:val="24"/>
          <w:szCs w:val="24"/>
          <w:highlight w:val="none"/>
        </w:rPr>
        <w:t xml:space="preserve">电 话：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传 真：</w:t>
      </w:r>
      <w:r/>
    </w:p>
    <w:p>
      <w:pPr>
        <w:pStyle w:val="1077"/>
        <w:ind w:firstLine="480"/>
        <w:spacing w:line="360" w:lineRule="auto"/>
        <w:rPr>
          <w:rFonts w:ascii="宋体" w:hAnsi="宋体" w:cs="宋体"/>
          <w:color w:val="auto"/>
          <w:highlight w:val="none"/>
        </w:rPr>
      </w:pPr>
      <w:r>
        <w:rPr>
          <w:rFonts w:hint="eastAsia" w:ascii="宋体" w:hAnsi="宋体" w:cs="宋体"/>
          <w:color w:val="auto"/>
          <w:highlight w:val="none"/>
        </w:rPr>
        <w:t xml:space="preserve">法定代表人或授权代表（签字或盖章）：         联系电话：</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p>
    <w:p>
      <w:pPr>
        <w:pStyle w:val="1077"/>
        <w:ind w:firstLine="480"/>
        <w:spacing w:line="360" w:lineRule="auto"/>
        <w:rPr>
          <w:rFonts w:ascii="宋体" w:hAnsi="宋体" w:cs="宋体"/>
          <w:b/>
          <w:bCs/>
          <w:color w:val="auto"/>
          <w:sz w:val="24"/>
          <w:highlight w:val="none"/>
        </w:rPr>
      </w:pPr>
      <w:r>
        <w:rPr>
          <w:rFonts w:hint="eastAsia" w:ascii="宋体" w:hAnsi="宋体" w:cs="宋体"/>
          <w:color w:val="auto"/>
          <w:highlight w:val="none"/>
        </w:rPr>
        <w:t xml:space="preserve">日 期：</w:t>
      </w:r>
      <w:r>
        <w:rPr>
          <w:rFonts w:hint="eastAsia" w:ascii="宋体" w:hAnsi="宋体" w:cs="宋体"/>
          <w:color w:val="auto"/>
          <w:highlight w:val="none"/>
          <w:u w:val="single"/>
        </w:rPr>
        <w:t xml:space="preserve">______</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____</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____</w:t>
      </w:r>
      <w:r>
        <w:rPr>
          <w:rFonts w:hint="eastAsia" w:ascii="宋体" w:hAnsi="宋体" w:cs="宋体"/>
          <w:color w:val="auto"/>
          <w:highlight w:val="none"/>
        </w:rPr>
        <w:t xml:space="preserve">日</w:t>
      </w:r>
      <w:r/>
    </w:p>
    <w:p>
      <w:pPr>
        <w:jc w:val="center"/>
        <w:spacing w:after="160" w:line="520" w:lineRule="exact"/>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after="160" w:line="520" w:lineRule="exact"/>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after="160" w:line="520" w:lineRule="exact"/>
        <w:widowControl/>
        <w:rPr>
          <w:rFonts w:ascii="宋体" w:hAnsi="宋体" w:cs="宋体"/>
          <w:b/>
          <w:bCs/>
          <w:color w:val="auto"/>
          <w:sz w:val="24"/>
          <w:highlight w:val="none"/>
        </w:rPr>
      </w:pPr>
      <w:r>
        <w:rPr>
          <w:rFonts w:ascii="宋体" w:hAnsi="宋体" w:cs="宋体"/>
          <w:b/>
          <w:bCs/>
          <w:color w:val="auto"/>
          <w:sz w:val="24"/>
          <w:highlight w:val="none"/>
        </w:rPr>
      </w:r>
      <w:r/>
    </w:p>
    <w:p>
      <w:pPr>
        <w:pStyle w:val="851"/>
        <w:jc w:val="center"/>
        <w:spacing w:line="360" w:lineRule="auto"/>
        <w:rPr>
          <w:rFonts w:ascii="宋体" w:hAnsi="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二、供应商有效的营业执照（复印件加盖供应商公章）</w:t>
      </w:r>
      <w:r/>
    </w:p>
    <w:p>
      <w:pPr>
        <w:pStyle w:val="892"/>
        <w:ind w:left="0" w:firstLine="0"/>
        <w:jc w:val="center"/>
        <w:spacing w:line="360" w:lineRule="auto"/>
        <w:tabs>
          <w:tab w:val="left" w:pos="1276" w:leader="none"/>
        </w:tabs>
        <w:rPr>
          <w:rFonts w:hint="eastAsia" w:ascii="宋体" w:hAnsi="宋体" w:eastAsia="宋体" w:cs="宋体"/>
          <w:b/>
          <w:bCs/>
          <w:color w:val="auto"/>
          <w:sz w:val="32"/>
          <w:szCs w:val="32"/>
          <w:highlight w:val="none"/>
          <w:lang w:val="en-US" w:eastAsia="zh-CN" w:bidi="ar-SA"/>
        </w:rPr>
        <w:outlineLvl w:val="1"/>
      </w:pP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lang w:val="en-US" w:eastAsia="zh-CN" w:bidi="ar-SA"/>
        </w:rPr>
        <w:t xml:space="preserve">供应商有效的食品经营许可证（复印件加盖供应商公章）</w:t>
      </w:r>
      <w:r/>
    </w:p>
    <w:p>
      <w:pP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pStyle w:val="112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四</w:t>
      </w:r>
      <w:r>
        <w:rPr>
          <w:rFonts w:hint="eastAsia" w:ascii="宋体" w:hAnsi="宋体" w:cs="宋体"/>
          <w:b/>
          <w:bCs/>
          <w:color w:val="auto"/>
          <w:sz w:val="32"/>
          <w:szCs w:val="32"/>
          <w:highlight w:val="none"/>
        </w:rPr>
        <w:t xml:space="preserve">、供应商法定代表人身份证明书</w:t>
      </w:r>
      <w:r>
        <w:rPr>
          <w:rFonts w:hint="eastAsia" w:ascii="宋体" w:hAnsi="宋体" w:cs="宋体"/>
          <w:b/>
          <w:bCs/>
          <w:color w:val="auto"/>
          <w:sz w:val="32"/>
          <w:szCs w:val="32"/>
          <w:highlight w:val="none"/>
          <w:lang w:val="en-US" w:eastAsia="zh-CN"/>
        </w:rPr>
        <w:t xml:space="preserve">及</w:t>
      </w:r>
      <w:r>
        <w:rPr>
          <w:rFonts w:hint="eastAsia" w:ascii="宋体" w:hAnsi="宋体" w:cs="宋体"/>
          <w:b/>
          <w:bCs/>
          <w:color w:val="auto"/>
          <w:sz w:val="32"/>
          <w:szCs w:val="32"/>
          <w:highlight w:val="none"/>
        </w:rPr>
        <w:t xml:space="preserve">法定代表人身份证复印件</w:t>
      </w:r>
      <w:r/>
    </w:p>
    <w:p>
      <w:pPr>
        <w:pStyle w:val="1123"/>
        <w:ind w:firstLine="361"/>
        <w:rPr>
          <w:b/>
          <w:bCs/>
          <w:color w:val="auto"/>
          <w:highlight w:val="none"/>
        </w:rPr>
      </w:pPr>
      <w:r>
        <w:rPr>
          <w:b/>
          <w:bCs/>
          <w:color w:val="auto"/>
          <w:highlight w:val="none"/>
        </w:rPr>
      </w:r>
      <w:r/>
    </w:p>
    <w:p>
      <w:pPr>
        <w:pStyle w:val="1123"/>
        <w:ind w:firstLine="480"/>
        <w:spacing w:line="360" w:lineRule="auto"/>
        <w:rPr>
          <w:rFonts w:hint="eastAsia"/>
          <w:color w:val="auto"/>
          <w:highlight w:val="none"/>
          <w:u w:val="single"/>
        </w:rPr>
      </w:pPr>
      <w:r>
        <w:rPr>
          <w:rFonts w:hint="eastAsia"/>
          <w:color w:val="auto"/>
          <w:highlight w:val="none"/>
          <w:u w:val="single"/>
        </w:rPr>
      </w:r>
      <w:r/>
    </w:p>
    <w:p>
      <w:pPr>
        <w:pStyle w:val="1123"/>
        <w:ind w:firstLine="480"/>
        <w:spacing w:line="360" w:lineRule="auto"/>
        <w:rPr>
          <w:color w:val="auto"/>
          <w:highlight w:val="none"/>
        </w:rPr>
      </w:pPr>
      <w:r>
        <w:rPr>
          <w:rFonts w:hint="eastAsia"/>
          <w:color w:val="auto"/>
          <w:highlight w:val="none"/>
          <w:u w:val="single"/>
        </w:rPr>
        <w:t xml:space="preserve">（法定代表人姓名）</w:t>
      </w:r>
      <w:r>
        <w:rPr>
          <w:rFonts w:hint="eastAsia"/>
          <w:color w:val="auto"/>
          <w:highlight w:val="none"/>
        </w:rPr>
        <w:t xml:space="preserve">在</w:t>
      </w:r>
      <w:r>
        <w:rPr>
          <w:rFonts w:hint="eastAsia"/>
          <w:color w:val="auto"/>
          <w:highlight w:val="none"/>
          <w:u w:val="single"/>
        </w:rPr>
        <w:t xml:space="preserve">（供应商名称）</w:t>
      </w:r>
      <w:r>
        <w:rPr>
          <w:rFonts w:hint="eastAsia"/>
          <w:color w:val="auto"/>
          <w:highlight w:val="none"/>
        </w:rPr>
        <w:t xml:space="preserve">处 任</w:t>
      </w:r>
      <w:r>
        <w:rPr>
          <w:rFonts w:hint="eastAsia"/>
          <w:color w:val="auto"/>
          <w:highlight w:val="none"/>
          <w:u w:val="single"/>
        </w:rPr>
        <w:t xml:space="preserve">（职务名称）</w:t>
      </w:r>
      <w:r>
        <w:rPr>
          <w:rFonts w:hint="eastAsia"/>
          <w:color w:val="auto"/>
          <w:highlight w:val="none"/>
        </w:rPr>
        <w:t xml:space="preserve">职务，是</w:t>
      </w:r>
      <w:r>
        <w:rPr>
          <w:rFonts w:hint="eastAsia"/>
          <w:color w:val="auto"/>
          <w:highlight w:val="none"/>
          <w:u w:val="single"/>
        </w:rPr>
        <w:t xml:space="preserve">（供应商名称）</w:t>
      </w:r>
      <w:r>
        <w:rPr>
          <w:rFonts w:hint="eastAsia"/>
          <w:color w:val="auto"/>
          <w:highlight w:val="none"/>
        </w:rPr>
        <w:t xml:space="preserve"> 的法定代表人。 </w:t>
      </w:r>
      <w:r/>
    </w:p>
    <w:p>
      <w:pPr>
        <w:pStyle w:val="1123"/>
        <w:ind w:firstLine="360"/>
        <w:spacing w:line="360" w:lineRule="auto"/>
        <w:rPr>
          <w:color w:val="auto"/>
          <w:highlight w:val="none"/>
        </w:rPr>
      </w:pPr>
      <w:r>
        <w:rPr>
          <w:rFonts w:hint="eastAsia"/>
          <w:color w:val="auto"/>
          <w:highlight w:val="none"/>
        </w:rPr>
        <w:t xml:space="preserve">特此证明。 </w:t>
      </w:r>
      <w:r/>
    </w:p>
    <w:p>
      <w:pPr>
        <w:pStyle w:val="1123"/>
        <w:ind w:firstLine="360"/>
        <w:spacing w:line="360" w:lineRule="auto"/>
        <w:rPr>
          <w:color w:val="auto"/>
          <w:highlight w:val="none"/>
        </w:rPr>
      </w:pPr>
      <w:r>
        <w:rPr>
          <w:color w:val="auto"/>
          <w:highlight w:val="none"/>
        </w:rPr>
      </w:r>
      <w:r/>
    </w:p>
    <w:p>
      <w:pPr>
        <w:pStyle w:val="1123"/>
        <w:ind w:firstLine="360"/>
        <w:spacing w:line="360" w:lineRule="auto"/>
        <w:rPr>
          <w:color w:val="auto"/>
          <w:highlight w:val="none"/>
        </w:rPr>
      </w:pPr>
      <w:r>
        <w:rPr>
          <w:color w:val="auto"/>
          <w:highlight w:val="none"/>
        </w:rPr>
      </w:r>
      <w:r/>
    </w:p>
    <w:p>
      <w:pPr>
        <w:pStyle w:val="1123"/>
        <w:ind w:firstLine="360"/>
        <w:spacing w:line="360" w:lineRule="auto"/>
        <w:rPr>
          <w:color w:val="auto"/>
          <w:highlight w:val="none"/>
        </w:rPr>
      </w:pPr>
      <w:r>
        <w:rPr>
          <w:color w:val="auto"/>
          <w:highlight w:val="none"/>
        </w:rPr>
      </w:r>
      <w:r/>
    </w:p>
    <w:p>
      <w:pPr>
        <w:pStyle w:val="1123"/>
        <w:ind w:firstLine="360"/>
        <w:spacing w:line="360" w:lineRule="auto"/>
        <w:rPr>
          <w:color w:val="auto"/>
          <w:highlight w:val="none"/>
        </w:rPr>
      </w:pPr>
      <w:r>
        <w:rPr>
          <w:rFonts w:hint="eastAsia"/>
          <w:color w:val="auto"/>
          <w:highlight w:val="none"/>
        </w:rPr>
        <w:t xml:space="preserve">供应商（加盖CA电子公章）：</w:t>
      </w:r>
      <w:r/>
    </w:p>
    <w:p>
      <w:pPr>
        <w:pStyle w:val="1123"/>
        <w:ind w:firstLine="360"/>
        <w:spacing w:line="360" w:lineRule="auto"/>
        <w:rPr>
          <w:color w:val="auto"/>
          <w:highlight w:val="none"/>
        </w:rPr>
      </w:pPr>
      <w:r>
        <w:rPr>
          <w:rFonts w:hint="eastAsia"/>
          <w:color w:val="auto"/>
          <w:highlight w:val="none"/>
        </w:rPr>
        <w:t xml:space="preserve">日期：    年  月  日 </w:t>
      </w:r>
      <w:r/>
    </w:p>
    <w:p>
      <w:pPr>
        <w:pStyle w:val="849"/>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49"/>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4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附：法定代表人身份证复印件</w:t>
      </w:r>
      <w:r>
        <w:rPr>
          <w:rFonts w:hint="eastAsia" w:ascii="宋体" w:hAnsi="宋体" w:cs="宋体"/>
          <w:color w:val="auto"/>
          <w:sz w:val="24"/>
          <w:szCs w:val="24"/>
          <w:highlight w:val="none"/>
          <w:lang w:val="en-US" w:eastAsia="zh-CN"/>
        </w:rPr>
        <w:t xml:space="preserve">加盖公章</w:t>
      </w:r>
      <w:r>
        <w:rPr>
          <w:rFonts w:hint="eastAsia" w:ascii="宋体" w:hAnsi="宋体" w:cs="宋体"/>
          <w:color w:val="auto"/>
          <w:sz w:val="24"/>
          <w:szCs w:val="24"/>
          <w:highlight w:val="none"/>
        </w:rPr>
        <w:t xml:space="preserve">（正反两面均需复印）</w:t>
      </w:r>
      <w:r/>
    </w:p>
    <w:p>
      <w:pPr>
        <w:pStyle w:val="849"/>
        <w:ind w:firstLine="480"/>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92"/>
        <w:ind w:left="0" w:firstLine="1928"/>
        <w:spacing w:line="360" w:lineRule="auto"/>
        <w:tabs>
          <w:tab w:val="left" w:pos="1276" w:leader="none"/>
        </w:tabs>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pStyle w:val="892"/>
        <w:ind w:left="0" w:firstLine="1928"/>
        <w:spacing w:line="360" w:lineRule="auto"/>
        <w:tabs>
          <w:tab w:val="left" w:pos="1276" w:leader="none"/>
        </w:tabs>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pStyle w:val="892"/>
        <w:ind w:left="0" w:firstLine="1928"/>
        <w:spacing w:line="360" w:lineRule="auto"/>
        <w:tabs>
          <w:tab w:val="left" w:pos="1276" w:leader="none"/>
        </w:tabs>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pStyle w:val="892"/>
        <w:ind w:left="0" w:firstLine="1928"/>
        <w:spacing w:line="360" w:lineRule="auto"/>
        <w:tabs>
          <w:tab w:val="left" w:pos="1276" w:leader="none"/>
        </w:tabs>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pStyle w:val="892"/>
        <w:ind w:left="0" w:firstLine="1928"/>
        <w:spacing w:line="360" w:lineRule="auto"/>
        <w:tabs>
          <w:tab w:val="left" w:pos="1276" w:leader="none"/>
        </w:tabs>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pStyle w:val="892"/>
        <w:ind w:left="0" w:firstLine="1928"/>
        <w:spacing w:line="360" w:lineRule="auto"/>
        <w:tabs>
          <w:tab w:val="left" w:pos="1276" w:leader="none"/>
        </w:tabs>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57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numPr>
          <w:ilvl w:val="0"/>
          <w:numId w:val="0"/>
        </w:numPr>
        <w:jc w:val="center"/>
        <w:spacing w:line="360" w:lineRule="auto"/>
        <w:tabs>
          <w:tab w:val="left" w:pos="900" w:leader="none"/>
        </w:tabs>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五、供应商法定代表人授权委托书及授权代表身份证复印件</w:t>
      </w:r>
      <w:r/>
    </w:p>
    <w:p>
      <w:pPr>
        <w:numPr>
          <w:ilvl w:val="0"/>
          <w:numId w:val="0"/>
        </w:numPr>
        <w:ind w:firstLine="2249"/>
        <w:spacing w:line="360" w:lineRule="auto"/>
        <w:tabs>
          <w:tab w:val="left" w:pos="900" w:leader="none"/>
        </w:tabs>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（法定代表人亲自参加磋商的除外）</w:t>
      </w:r>
      <w:r/>
    </w:p>
    <w:p>
      <w:pPr>
        <w:ind w:firstLine="1928"/>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sz w:val="24"/>
          <w:highlight w:val="none"/>
        </w:rPr>
        <w:t xml:space="preserve">（采购人名称）：</w:t>
      </w:r>
      <w:r/>
    </w:p>
    <w:p>
      <w:pPr>
        <w:pStyle w:val="1077"/>
        <w:ind w:firstLine="480"/>
        <w:spacing w:line="360" w:lineRule="auto"/>
        <w:rPr>
          <w:rFonts w:ascii="宋体" w:hAnsi="宋体" w:cs="宋体"/>
          <w:color w:val="auto"/>
          <w:highlight w:val="none"/>
        </w:rPr>
      </w:pPr>
      <w:r>
        <w:rPr>
          <w:rFonts w:ascii="宋体" w:hAnsi="宋体" w:cs="宋体"/>
          <w:color w:val="auto"/>
          <w:highlight w:val="none"/>
        </w:rPr>
      </w:r>
      <w:r/>
    </w:p>
    <w:p>
      <w:pPr>
        <w:pStyle w:val="1077"/>
        <w:ind w:firstLine="480"/>
        <w:spacing w:line="360" w:lineRule="auto"/>
        <w:rPr>
          <w:rFonts w:ascii="宋体" w:hAnsi="宋体" w:cs="宋体"/>
          <w:bCs/>
          <w:color w:val="auto"/>
          <w:highlight w:val="none"/>
        </w:rPr>
      </w:pPr>
      <w:r>
        <w:rPr>
          <w:rFonts w:hint="eastAsia" w:ascii="宋体" w:hAnsi="宋体" w:cs="宋体"/>
          <w:color w:val="auto"/>
          <w:highlight w:val="none"/>
        </w:rPr>
        <w:t xml:space="preserve">本授权书声明：</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（供应商名称）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（法定代表人姓名、职务）授权</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（被授权人的姓名）为我方就</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（项目名称）项目采购活动的合法代表，以本公司名义全权处理一切与该项目采购有关的事务。</w:t>
      </w:r>
      <w:r>
        <w:rPr>
          <w:rFonts w:hint="eastAsia" w:ascii="宋体" w:hAnsi="宋体" w:cs="宋体"/>
          <w:bCs/>
          <w:color w:val="auto"/>
          <w:highlight w:val="none"/>
        </w:rPr>
        <w:t xml:space="preserve">在撤销授权的书面通知送达你处以前，本授权书一直有效，授权代表人签署的所有文件（在授权书有效期内签署的）不因授权的撤销而失效。</w:t>
      </w:r>
      <w:r/>
    </w:p>
    <w:p>
      <w:pPr>
        <w:pStyle w:val="1077"/>
        <w:ind w:firstLine="480"/>
        <w:spacing w:line="360" w:lineRule="auto"/>
        <w:rPr>
          <w:rFonts w:ascii="宋体" w:hAnsi="宋体" w:cs="宋体"/>
          <w:color w:val="auto"/>
          <w:highlight w:val="none"/>
        </w:rPr>
      </w:pPr>
      <w:r>
        <w:rPr>
          <w:rFonts w:hint="eastAsia" w:ascii="宋体" w:hAnsi="宋体" w:cs="宋体"/>
          <w:color w:val="auto"/>
          <w:highlight w:val="none"/>
        </w:rPr>
        <w:t xml:space="preserve">本授权书于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日起生效，特此声明。</w:t>
      </w:r>
      <w:r/>
    </w:p>
    <w:p>
      <w:pPr>
        <w:pStyle w:val="1077"/>
        <w:ind w:firstLine="480"/>
        <w:spacing w:line="360" w:lineRule="auto"/>
        <w:rPr>
          <w:rFonts w:ascii="宋体" w:hAnsi="宋体" w:cs="宋体"/>
          <w:color w:val="auto"/>
          <w:highlight w:val="none"/>
        </w:rPr>
      </w:pPr>
      <w:r>
        <w:rPr>
          <w:rFonts w:ascii="宋体" w:hAnsi="宋体" w:cs="宋体"/>
          <w:color w:val="auto"/>
          <w:highlight w:val="none"/>
        </w:rPr>
      </w:r>
      <w:r/>
    </w:p>
    <w:p>
      <w:pPr>
        <w:pStyle w:val="1077"/>
        <w:ind w:firstLine="480"/>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pStyle w:val="1077"/>
        <w:ind w:firstLine="48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法定代表人（签字或盖章）：</w:t>
      </w:r>
      <w:r/>
    </w:p>
    <w:p>
      <w:pPr>
        <w:pStyle w:val="1077"/>
        <w:ind w:firstLine="480"/>
        <w:spacing w:line="360" w:lineRule="auto"/>
        <w:rPr>
          <w:rFonts w:ascii="宋体" w:hAnsi="宋体" w:cs="宋体"/>
          <w:color w:val="auto"/>
          <w:highlight w:val="none"/>
        </w:rPr>
      </w:pPr>
      <w:r>
        <w:rPr>
          <w:rFonts w:hint="eastAsia" w:ascii="宋体" w:hAnsi="宋体" w:cs="宋体"/>
          <w:color w:val="auto"/>
          <w:highlight w:val="none"/>
        </w:rPr>
        <w:t xml:space="preserve">日期：年 月 日</w:t>
      </w:r>
      <w:r/>
    </w:p>
    <w:p>
      <w:pPr>
        <w:pStyle w:val="849"/>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4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附：授权代表身份证复印件</w:t>
      </w:r>
      <w:r>
        <w:rPr>
          <w:rFonts w:hint="eastAsia" w:ascii="宋体" w:hAnsi="宋体" w:cs="宋体"/>
          <w:color w:val="auto"/>
          <w:sz w:val="24"/>
          <w:szCs w:val="24"/>
          <w:highlight w:val="none"/>
          <w:lang w:val="en-US" w:eastAsia="zh-CN"/>
        </w:rPr>
        <w:t xml:space="preserve">加盖公章</w:t>
      </w:r>
      <w:r>
        <w:rPr>
          <w:rFonts w:hint="eastAsia" w:ascii="宋体" w:hAnsi="宋体" w:cs="宋体"/>
          <w:color w:val="auto"/>
          <w:sz w:val="24"/>
          <w:szCs w:val="24"/>
          <w:highlight w:val="none"/>
        </w:rPr>
        <w:t xml:space="preserve">（正反两面均需复印）</w:t>
      </w:r>
      <w:r/>
    </w:p>
    <w:p>
      <w:pPr>
        <w:pStyle w:val="849"/>
        <w:ind w:firstLine="480"/>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1124"/>
        <w:ind w:left="0" w:firstLine="0"/>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24"/>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24"/>
        <w:ind w:left="0" w:firstLine="0"/>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24"/>
        <w:ind w:left="563" w:hanging="84"/>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24"/>
        <w:ind w:left="563" w:hanging="84"/>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24"/>
        <w:ind w:left="0" w:firstLine="0"/>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numPr>
          <w:ilvl w:val="0"/>
          <w:numId w:val="0"/>
        </w:numPr>
        <w:jc w:val="both"/>
        <w:spacing w:line="360" w:lineRule="auto"/>
        <w:tabs>
          <w:tab w:val="left" w:pos="900" w:leader="none"/>
        </w:tabs>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六、供应商近六个月中任意一个月份(不含磋商当月)的财务状况报告（资产负债表和利润表）或由会计师事务所出具的近两年中任意一个年度的审计报告和所附已审财务报告复印件</w:t>
      </w:r>
      <w:r/>
    </w:p>
    <w:p>
      <w:pPr>
        <w:numPr>
          <w:ilvl w:val="0"/>
          <w:numId w:val="0"/>
        </w:numPr>
        <w:jc w:val="both"/>
        <w:spacing w:line="360" w:lineRule="auto"/>
        <w:tabs>
          <w:tab w:val="left" w:pos="900" w:leader="none"/>
        </w:tabs>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七、供应商近六个月中任意一个月份(不含磋商当月)的依法缴纳税收的相关材料（提供相关主管部门证明或银行代扣证明）复印件</w:t>
      </w:r>
      <w:r/>
    </w:p>
    <w:p>
      <w:pPr>
        <w:numPr>
          <w:ilvl w:val="0"/>
          <w:numId w:val="0"/>
        </w:numPr>
        <w:jc w:val="both"/>
        <w:spacing w:line="360" w:lineRule="auto"/>
        <w:tabs>
          <w:tab w:val="left" w:pos="900" w:leader="none"/>
        </w:tabs>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八、供应商近六个月中任意一个月份(不含磋商当月)的依法缴纳社会保障资金的相关材料（提供相关主管部门证明或银行代扣证明）复印件</w:t>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pStyle w:val="1124"/>
        <w:ind w:left="577" w:hanging="98"/>
        <w:spacing w:line="520" w:lineRule="exact"/>
        <w:rPr>
          <w:rFonts w:ascii="宋体" w:hAnsi="宋体" w:cs="宋体"/>
          <w:color w:val="auto"/>
          <w:sz w:val="28"/>
          <w:highlight w:val="none"/>
        </w:rPr>
      </w:pPr>
      <w:r>
        <w:rPr>
          <w:rFonts w:ascii="宋体" w:hAnsi="宋体" w:cs="宋体"/>
          <w:color w:val="auto"/>
          <w:sz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1124"/>
        <w:ind w:left="0" w:firstLine="0"/>
        <w:jc w:val="both"/>
        <w:spacing w:line="52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1124"/>
        <w:ind w:left="0" w:firstLine="0"/>
        <w:jc w:val="both"/>
        <w:spacing w:line="52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九、参加政府采购活动前三年内，在经营活动中没有重大违法记录</w:t>
      </w:r>
      <w:r/>
    </w:p>
    <w:p>
      <w:pPr>
        <w:pStyle w:val="1068"/>
        <w:ind w:firstLine="0"/>
        <w:jc w:val="center"/>
        <w:spacing w:before="0" w:after="0" w:line="52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068"/>
        <w:ind w:firstLine="0"/>
        <w:jc w:val="center"/>
        <w:spacing w:before="0" w:after="0" w:line="52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声 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法定代表人或授权代表（签字或盖章）：</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日期：年 月 日</w:t>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firstLine="464"/>
        <w:jc w:val="right"/>
        <w:spacing w:line="360" w:lineRule="auto"/>
        <w:rPr>
          <w:rFonts w:ascii="宋体" w:hAnsi="宋体" w:cs="宋体"/>
          <w:color w:val="auto"/>
          <w:spacing w:val="-4"/>
          <w:sz w:val="24"/>
          <w:highlight w:val="none"/>
        </w:rPr>
      </w:pPr>
      <w:r>
        <w:rPr>
          <w:rFonts w:ascii="宋体" w:hAnsi="宋体" w:cs="宋体"/>
          <w:color w:val="auto"/>
          <w:spacing w:val="-4"/>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bCs/>
          <w:color w:val="auto"/>
          <w:sz w:val="24"/>
          <w:highlight w:val="none"/>
        </w:rPr>
      </w:pPr>
      <w:r>
        <w:rPr>
          <w:rFonts w:ascii="宋体" w:hAnsi="宋体" w:cs="宋体"/>
          <w:b/>
          <w:bCs/>
          <w:color w:val="auto"/>
          <w:sz w:val="24"/>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285"/>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both"/>
        <w:rPr>
          <w:rFonts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rPr>
        <w:t xml:space="preserve">、具有履行合同所必需的设备和专业技术能力</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68"/>
        <w:ind w:firstLine="0"/>
        <w:jc w:val="center"/>
        <w:spacing w:before="0" w:after="0" w:line="520" w:lineRule="exac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声 明</w:t>
      </w:r>
      <w:r/>
    </w:p>
    <w:p>
      <w:pPr>
        <w:ind w:firstLine="493"/>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9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93"/>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法定代表人或授权代表（签字或盖章）：</w:t>
      </w:r>
      <w:r/>
    </w:p>
    <w:p>
      <w:pP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日期：年 月 日</w:t>
      </w:r>
      <w:r/>
    </w:p>
    <w:p>
      <w:pPr>
        <w:spacing w:line="360" w:lineRule="auto"/>
        <w:rPr>
          <w:rFonts w:hint="eastAsia" w:ascii="宋体" w:hAnsi="宋体" w:cs="宋体"/>
          <w:color w:val="auto"/>
          <w:sz w:val="24"/>
          <w:highlight w:val="none"/>
        </w:rPr>
        <w:sectPr>
          <w:headerReference w:type="default" r:id="rId9"/>
          <w:footerReference w:type="default" r:id="rId12"/>
          <w:footerReference w:type="first" r:id="rId13"/>
          <w:footnotePr/>
          <w:endnotePr/>
          <w:type w:val="nextPage"/>
          <w:pgSz w:w="11907" w:h="16840" w:orient="portrait"/>
          <w:pgMar w:top="1134" w:right="1134" w:bottom="1134" w:left="1418" w:header="851" w:footer="907" w:gutter="0"/>
          <w:cols w:num="1" w:sep="0" w:space="1701" w:equalWidth="1"/>
          <w:docGrid w:linePitch="360"/>
          <w:titlePg/>
        </w:sectPr>
        <w:outlineLvl w:val="0"/>
      </w:pPr>
      <w:r>
        <w:rPr>
          <w:rFonts w:hint="eastAsia" w:ascii="宋体" w:hAnsi="宋体" w:cs="宋体"/>
          <w:color w:val="auto"/>
          <w:sz w:val="24"/>
          <w:highlight w:val="none"/>
        </w:rPr>
      </w:r>
      <w:r/>
    </w:p>
    <w:p>
      <w:pPr>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十一、承诺函原件</w:t>
      </w:r>
      <w:r/>
    </w:p>
    <w:p>
      <w:pPr>
        <w:ind w:firstLine="1285"/>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承诺函</w:t>
      </w:r>
      <w:r/>
    </w:p>
    <w:p>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               （采购单位名称）：</w:t>
      </w:r>
      <w:r/>
    </w:p>
    <w:p>
      <w:pPr>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单位名称）参加 </w:t>
      </w:r>
      <w:r>
        <w:rPr>
          <w:rFonts w:hint="eastAsia" w:ascii="宋体" w:hAnsi="宋体"/>
          <w:color w:val="auto"/>
          <w:sz w:val="24"/>
          <w:highlight w:val="none"/>
          <w:u w:val="single"/>
        </w:rPr>
        <w:t xml:space="preserve">   （项目名称和项目编号）</w:t>
      </w:r>
      <w:r>
        <w:rPr>
          <w:rFonts w:hint="eastAsia" w:ascii="宋体" w:hAnsi="宋体"/>
          <w:color w:val="auto"/>
          <w:sz w:val="24"/>
          <w:highlight w:val="none"/>
        </w:rPr>
        <w:t xml:space="preserve">的政府采购活动，郑重承诺具备以下条件：</w:t>
      </w:r>
      <w:r/>
    </w:p>
    <w:p>
      <w:pPr>
        <w:ind w:firstLine="480"/>
        <w:jc w:val="left"/>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（一）未被“信用中国”网站（www.creditchina.gov.cn）列入失信被执行人名单、政府采购严重违法失信行为记录名单、重大税收违法失信主体名单；</w:t>
      </w:r>
      <w:r/>
    </w:p>
    <w:p>
      <w:pPr>
        <w:ind w:firstLine="480"/>
        <w:jc w:val="left"/>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（二）供应商单位法定代表人/负责人为同一人或者存在直接控股、管理关系的不同供应商，不得参加同一合同项下的政府采购活动；</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（三）法律法规规定的其他情形。</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    本单位对上述承诺的真实性负责。如有虚假，将依法承担相应责任。同时我们同意如贵方要求，可以出示相关证明文件。</w:t>
      </w:r>
      <w:r/>
    </w:p>
    <w:p>
      <w:pP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48"/>
        <w:rPr>
          <w:rFonts w:hint="eastAsia"/>
          <w:color w:val="auto"/>
          <w:highlight w:val="none"/>
        </w:rPr>
      </w:pPr>
      <w:r>
        <w:rPr>
          <w:rFonts w:hint="eastAsia"/>
          <w:color w:val="auto"/>
          <w:highlight w:val="none"/>
        </w:rPr>
      </w:r>
      <w:r/>
    </w:p>
    <w:p>
      <w:pPr>
        <w:ind w:firstLine="456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pStyle w:val="1078"/>
        <w:ind w:firstLine="456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法定代表人或授权代表（签字或盖章）：</w:t>
      </w:r>
      <w:r/>
    </w:p>
    <w:p>
      <w:pPr>
        <w:pStyle w:val="1078"/>
        <w:ind w:firstLine="456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jc w:val="center"/>
        <w:spacing w:after="160" w:line="520" w:lineRule="exact"/>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after="160" w:line="520" w:lineRule="exact"/>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after="160" w:line="520" w:lineRule="exact"/>
        <w:widowControl/>
        <w:rPr>
          <w:rFonts w:ascii="宋体" w:hAnsi="宋体" w:cs="宋体"/>
          <w:b/>
          <w:bCs/>
          <w:color w:val="auto"/>
          <w:sz w:val="24"/>
          <w:highlight w:val="none"/>
        </w:rPr>
      </w:pPr>
      <w:r>
        <w:rPr>
          <w:rFonts w:ascii="宋体" w:hAnsi="宋体" w:cs="宋体"/>
          <w:b/>
          <w:bCs/>
          <w:color w:val="auto"/>
          <w:sz w:val="24"/>
          <w:highlight w:val="none"/>
        </w:rPr>
      </w:r>
      <w:r/>
    </w:p>
    <w:p>
      <w:pPr>
        <w:ind w:firstLine="3132"/>
        <w:jc w:val="left"/>
        <w:spacing w:line="360" w:lineRule="auto"/>
        <w:tabs>
          <w:tab w:val="left" w:pos="8930" w:leader="none"/>
          <w:tab w:val="left" w:pos="9306" w:leader="none"/>
        </w:tabs>
        <w:rPr>
          <w:rFonts w:ascii="宋体" w:hAnsi="宋体" w:cs="宋体"/>
          <w:b/>
          <w:bCs/>
          <w:color w:val="auto"/>
          <w:sz w:val="24"/>
          <w:highlight w:val="none"/>
        </w:rPr>
      </w:pPr>
      <w:r>
        <w:rPr>
          <w:rFonts w:ascii="宋体" w:hAnsi="宋体" w:cs="宋体"/>
          <w:b/>
          <w:bCs/>
          <w:color w:val="auto"/>
          <w:sz w:val="24"/>
          <w:highlight w:val="none"/>
        </w:rPr>
      </w:r>
      <w:r/>
    </w:p>
    <w:p>
      <w:pPr>
        <w:ind w:firstLine="2409"/>
        <w:jc w:val="left"/>
        <w:spacing w:line="360" w:lineRule="auto"/>
        <w:tabs>
          <w:tab w:val="left" w:pos="8930" w:leader="none"/>
          <w:tab w:val="left" w:pos="9306" w:leader="none"/>
        </w:tabs>
        <w:rPr>
          <w:rFonts w:ascii="宋体" w:hAnsi="宋体" w:cs="宋体"/>
          <w:b/>
          <w:bCs/>
          <w:color w:val="auto"/>
          <w:sz w:val="24"/>
          <w:highlight w:val="none"/>
        </w:rPr>
      </w:pPr>
      <w:r>
        <w:rPr>
          <w:rFonts w:ascii="宋体" w:hAnsi="宋体" w:cs="宋体"/>
          <w:b/>
          <w:bCs/>
          <w:color w:val="auto"/>
          <w:sz w:val="24"/>
          <w:highlight w:val="none"/>
        </w:rPr>
      </w:r>
      <w:r/>
    </w:p>
    <w:p>
      <w:pPr>
        <w:ind w:firstLine="2409"/>
        <w:jc w:val="left"/>
        <w:spacing w:line="360" w:lineRule="auto"/>
        <w:tabs>
          <w:tab w:val="left" w:pos="8930" w:leader="none"/>
          <w:tab w:val="left" w:pos="9306" w:leader="none"/>
        </w:tabs>
        <w:rPr>
          <w:rFonts w:ascii="宋体" w:hAnsi="宋体" w:cs="宋体"/>
          <w:b/>
          <w:bCs/>
          <w:color w:val="auto"/>
          <w:sz w:val="24"/>
          <w:highlight w:val="none"/>
        </w:rPr>
      </w:pPr>
      <w:r>
        <w:rPr>
          <w:rFonts w:ascii="宋体" w:hAnsi="宋体" w:cs="宋体"/>
          <w:b/>
          <w:bCs/>
          <w:color w:val="auto"/>
          <w:sz w:val="24"/>
          <w:highlight w:val="none"/>
        </w:rPr>
      </w:r>
      <w:r/>
    </w:p>
    <w:p>
      <w:pPr>
        <w:rPr>
          <w:rFonts w:hint="eastAsia" w:ascii="Calibri" w:hAnsi="Calibri" w:eastAsia="黑体" w:cs="Times New Roman"/>
          <w:b/>
          <w:bCs/>
          <w:color w:val="auto"/>
          <w:sz w:val="36"/>
          <w:szCs w:val="44"/>
          <w:highlight w:val="none"/>
          <w:lang w:val="en-US" w:eastAsia="zh-CN" w:bidi="ar-SA"/>
        </w:rPr>
      </w:pPr>
      <w:r>
        <w:rPr>
          <w:rFonts w:hint="eastAsia" w:ascii="Calibri" w:hAnsi="Calibri" w:eastAsia="黑体" w:cs="Times New Roman"/>
          <w:b/>
          <w:bCs/>
          <w:color w:val="auto"/>
          <w:sz w:val="36"/>
          <w:szCs w:val="44"/>
          <w:highlight w:val="none"/>
          <w:lang w:val="en-US" w:eastAsia="zh-CN" w:bidi="ar-SA"/>
        </w:rPr>
        <w:br w:type="page" w:clear="all"/>
      </w:r>
      <w:r/>
    </w:p>
    <w:p>
      <w:pPr>
        <w:numPr>
          <w:ilvl w:val="0"/>
          <w:numId w:val="0"/>
        </w:numPr>
        <w:jc w:val="both"/>
        <w:spacing w:line="360" w:lineRule="auto"/>
        <w:rPr>
          <w:rFonts w:eastAsia="黑体"/>
          <w:b/>
          <w:bCs/>
          <w:color w:val="auto"/>
          <w:sz w:val="36"/>
          <w:szCs w:val="44"/>
          <w:highlight w:val="none"/>
        </w:rPr>
      </w:pPr>
      <w:r>
        <w:rPr>
          <w:rFonts w:hint="eastAsia" w:ascii="Calibri" w:hAnsi="Calibri" w:eastAsia="黑体" w:cs="Times New Roman"/>
          <w:b/>
          <w:bCs/>
          <w:color w:val="auto"/>
          <w:sz w:val="36"/>
          <w:szCs w:val="44"/>
          <w:highlight w:val="none"/>
          <w:lang w:val="en-US" w:eastAsia="zh-CN" w:bidi="ar-SA"/>
        </w:rPr>
        <w:t xml:space="preserve">十</w:t>
      </w:r>
      <w:r>
        <w:rPr>
          <w:rFonts w:hint="eastAsia" w:eastAsia="黑体" w:cs="Times New Roman"/>
          <w:b/>
          <w:bCs/>
          <w:color w:val="auto"/>
          <w:sz w:val="36"/>
          <w:szCs w:val="44"/>
          <w:highlight w:val="none"/>
          <w:lang w:val="en-US" w:eastAsia="zh-CN" w:bidi="ar-SA"/>
        </w:rPr>
        <w:t xml:space="preserve">二</w:t>
      </w:r>
      <w:r>
        <w:rPr>
          <w:rFonts w:hint="eastAsia" w:ascii="Calibri" w:hAnsi="Calibri" w:eastAsia="黑体" w:cs="Times New Roman"/>
          <w:b/>
          <w:bCs/>
          <w:color w:val="auto"/>
          <w:sz w:val="36"/>
          <w:szCs w:val="44"/>
          <w:highlight w:val="none"/>
          <w:lang w:val="en-US" w:eastAsia="zh-CN" w:bidi="ar-SA"/>
        </w:rPr>
        <w:t xml:space="preserve">、</w:t>
      </w:r>
      <w:r>
        <w:rPr>
          <w:rFonts w:hint="eastAsia" w:eastAsia="黑体"/>
          <w:b/>
          <w:bCs/>
          <w:color w:val="auto"/>
          <w:sz w:val="32"/>
          <w:szCs w:val="40"/>
          <w:highlight w:val="none"/>
          <w:lang w:val="en-US" w:eastAsia="zh-CN"/>
        </w:rPr>
        <w:t xml:space="preserve">中小企业声明函或残疾人福利性单位声明函或监狱企业的证明资料          </w:t>
      </w:r>
      <w:r/>
    </w:p>
    <w:p>
      <w:pPr>
        <w:ind w:firstLine="2891"/>
        <w:jc w:val="both"/>
        <w:spacing w:line="360" w:lineRule="auto"/>
        <w:rPr>
          <w:rFonts w:hint="eastAsia" w:eastAsia="黑体"/>
          <w:b/>
          <w:bCs/>
          <w:color w:val="auto"/>
          <w:sz w:val="32"/>
          <w:szCs w:val="40"/>
          <w:highlight w:val="none"/>
        </w:rPr>
      </w:pPr>
      <w:r>
        <w:rPr>
          <w:rFonts w:hint="eastAsia" w:eastAsia="黑体"/>
          <w:b/>
          <w:bCs/>
          <w:color w:val="auto"/>
          <w:sz w:val="32"/>
          <w:szCs w:val="40"/>
          <w:highlight w:val="none"/>
        </w:rPr>
        <w:t xml:space="preserve">中小企业声明函（服务）</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 号）的规定，本公司（联合体）参加（采购单位名称）的 （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u w:val="single"/>
        </w:rPr>
        <w:t xml:space="preserve">        （标的名称）</w:t>
      </w:r>
      <w:r>
        <w:rPr>
          <w:rFonts w:hint="eastAsia" w:ascii="宋体" w:hAnsi="宋体"/>
          <w:color w:val="auto"/>
          <w:sz w:val="24"/>
          <w:szCs w:val="24"/>
          <w:highlight w:val="none"/>
        </w:rPr>
        <w:t xml:space="preserve">，属于采购文件中明确的所属行业</w:t>
      </w:r>
      <w:r>
        <w:rPr>
          <w:rFonts w:hint="eastAsia" w:ascii="宋体" w:hAnsi="宋体"/>
          <w:color w:val="auto"/>
          <w:sz w:val="24"/>
          <w:szCs w:val="24"/>
          <w:highlight w:val="none"/>
          <w:u w:val="single"/>
        </w:rPr>
        <w:t xml:space="preserve">餐饮业</w:t>
      </w:r>
      <w:r>
        <w:rPr>
          <w:rFonts w:hint="eastAsia" w:ascii="宋体" w:hAnsi="宋体"/>
          <w:color w:val="auto"/>
          <w:sz w:val="24"/>
          <w:szCs w:val="24"/>
          <w:highlight w:val="none"/>
        </w:rPr>
        <w:t xml:space="preserve">；承建（承接）企业为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（中型企业、小型企业、微型企业）。 </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jc w:val="lef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以上企业不属于大型企业的分支机构，不存在控股股东为大企业的情形，也不存在与大企业的负责人为同一人的情形。</w:t>
      </w:r>
      <w:r/>
    </w:p>
    <w:p>
      <w:pPr>
        <w:ind w:firstLine="480"/>
        <w:jc w:val="left"/>
        <w:spacing w:line="48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本</w:t>
      </w:r>
      <w:r>
        <w:rPr>
          <w:rFonts w:hint="eastAsia" w:ascii="宋体" w:hAnsi="宋体"/>
          <w:color w:val="auto"/>
          <w:sz w:val="24"/>
          <w:szCs w:val="24"/>
          <w:highlight w:val="none"/>
        </w:rPr>
        <w:t xml:space="preserve">企业</w:t>
      </w:r>
      <w:r>
        <w:rPr>
          <w:rFonts w:hint="eastAsia" w:ascii="宋体" w:hAnsi="宋体"/>
          <w:color w:val="auto"/>
          <w:sz w:val="24"/>
          <w:szCs w:val="24"/>
          <w:highlight w:val="none"/>
          <w:lang w:val="zh-CN"/>
        </w:rPr>
        <w:t xml:space="preserve">对上述声明</w:t>
      </w:r>
      <w:r>
        <w:rPr>
          <w:rFonts w:hint="eastAsia" w:ascii="宋体" w:hAnsi="宋体"/>
          <w:color w:val="auto"/>
          <w:sz w:val="24"/>
          <w:szCs w:val="24"/>
          <w:highlight w:val="none"/>
        </w:rPr>
        <w:t xml:space="preserve">内容</w:t>
      </w:r>
      <w:r>
        <w:rPr>
          <w:rFonts w:hint="eastAsia" w:ascii="宋体" w:hAnsi="宋体"/>
          <w:color w:val="auto"/>
          <w:sz w:val="24"/>
          <w:szCs w:val="24"/>
          <w:highlight w:val="none"/>
          <w:lang w:val="zh-CN"/>
        </w:rPr>
        <w:t xml:space="preserve">的真实性负责。如有虚假，将依法承担相应责任。</w:t>
      </w:r>
      <w:r/>
    </w:p>
    <w:p>
      <w:pPr>
        <w:ind w:firstLine="480"/>
        <w:jc w:val="left"/>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0"/>
        <w:jc w:val="left"/>
        <w:spacing w:line="480" w:lineRule="auto"/>
        <w:rPr>
          <w:rFonts w:ascii="宋体" w:hAnsi="宋体"/>
          <w:color w:val="auto"/>
          <w:sz w:val="24"/>
          <w:szCs w:val="24"/>
          <w:highlight w:val="none"/>
        </w:rPr>
      </w:pPr>
      <w:r>
        <w:rPr>
          <w:rFonts w:ascii="宋体" w:hAnsi="宋体"/>
          <w:color w:val="auto"/>
          <w:sz w:val="24"/>
          <w:szCs w:val="24"/>
          <w:highlight w:val="none"/>
        </w:rPr>
        <w:t xml:space="preserve">企业名称</w:t>
      </w:r>
      <w:r>
        <w:rPr>
          <w:rFonts w:hint="eastAsia" w:ascii="宋体" w:hAnsi="宋体" w:cs="宋体"/>
          <w:color w:val="auto"/>
          <w:sz w:val="24"/>
          <w:highlight w:val="none"/>
        </w:rPr>
        <w:t xml:space="preserve">（加盖CA电子公章）</w:t>
      </w:r>
      <w:r>
        <w:rPr>
          <w:rFonts w:hint="eastAsia" w:ascii="宋体" w:hAnsi="宋体"/>
          <w:color w:val="auto"/>
          <w:sz w:val="24"/>
          <w:szCs w:val="24"/>
          <w:highlight w:val="none"/>
        </w:rPr>
        <w:t xml:space="preserve">：</w:t>
      </w:r>
      <w:r/>
    </w:p>
    <w:p>
      <w:pPr>
        <w:jc w:val="center"/>
        <w:spacing w:line="480" w:lineRule="auto"/>
        <w:rPr>
          <w:rFonts w:ascii="宋体" w:hAnsi="宋体"/>
          <w:color w:val="auto"/>
          <w:sz w:val="24"/>
          <w:szCs w:val="24"/>
          <w:highlight w:val="none"/>
        </w:rPr>
      </w:pPr>
      <w:r>
        <w:rPr>
          <w:rFonts w:ascii="宋体" w:hAnsi="宋体"/>
          <w:color w:val="auto"/>
          <w:sz w:val="24"/>
          <w:szCs w:val="24"/>
          <w:highlight w:val="none"/>
        </w:rPr>
        <w:t xml:space="preserve">         日期：</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）企业划型标准请参照《关于印发中小企业划型标准规定的通知》（工信部联企业</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300号）文件规定自行填写。</w:t>
      </w:r>
      <w:r/>
    </w:p>
    <w:p>
      <w:pPr>
        <w:spacing w:line="360" w:lineRule="auto"/>
        <w:rPr>
          <w:rFonts w:hint="eastAsia" w:ascii="宋体" w:hAnsi="宋体" w:eastAsia="宋体"/>
          <w:color w:val="auto"/>
          <w:sz w:val="24"/>
          <w:szCs w:val="24"/>
          <w:highlight w:val="none"/>
          <w:u w:val="single"/>
          <w:lang w:eastAsia="zh-CN"/>
        </w:rPr>
      </w:pPr>
      <w:r>
        <w:rPr>
          <w:rFonts w:hint="eastAsia" w:ascii="宋体" w:hAnsi="宋体"/>
          <w:bCs/>
          <w:color w:val="auto"/>
          <w:sz w:val="24"/>
          <w:szCs w:val="24"/>
          <w:highlight w:val="none"/>
        </w:rPr>
        <w:t xml:space="preserve">（2）</w:t>
      </w:r>
      <w:r>
        <w:rPr>
          <w:rFonts w:hint="eastAsia" w:ascii="宋体" w:hAnsi="宋体" w:cs="宋体"/>
          <w:color w:val="auto"/>
          <w:sz w:val="24"/>
          <w:szCs w:val="24"/>
          <w:highlight w:val="none"/>
        </w:rPr>
        <w:t xml:space="preserve">本项目所属行业：</w:t>
      </w:r>
      <w:r>
        <w:rPr>
          <w:rFonts w:hint="eastAsia" w:ascii="宋体" w:hAnsi="宋体"/>
          <w:color w:val="auto"/>
          <w:sz w:val="24"/>
          <w:szCs w:val="24"/>
          <w:highlight w:val="none"/>
          <w:u w:val="single"/>
          <w:lang w:eastAsia="zh-CN"/>
        </w:rPr>
        <w:t xml:space="preserve">餐饮业</w:t>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（3）从业人员、营业收入、资产总额填报上一年度数据，无上一年度数据的新成立企业可不填报。</w:t>
      </w:r>
      <w:r/>
    </w:p>
    <w:p>
      <w:pPr>
        <w:ind w:firstLine="2891"/>
        <w:jc w:val="both"/>
        <w:spacing w:line="360" w:lineRule="auto"/>
        <w:rPr>
          <w:rFonts w:eastAsia="黑体"/>
          <w:b/>
          <w:bCs/>
          <w:color w:val="auto"/>
          <w:sz w:val="36"/>
          <w:szCs w:val="44"/>
          <w:highlight w:val="none"/>
        </w:rPr>
      </w:pPr>
      <w:r>
        <w:rPr>
          <w:rFonts w:hint="eastAsia" w:eastAsia="黑体"/>
          <w:b/>
          <w:bCs/>
          <w:color w:val="auto"/>
          <w:sz w:val="32"/>
          <w:szCs w:val="40"/>
          <w:highlight w:val="none"/>
        </w:rPr>
        <w:t xml:space="preserve">残疾人福利性单位声明函</w:t>
      </w:r>
      <w:r/>
    </w:p>
    <w:p>
      <w:pPr>
        <w:ind w:firstLine="480"/>
        <w:spacing w:line="580" w:lineRule="exact"/>
        <w:rPr>
          <w:rFonts w:ascii="宋体" w:cs="宋体"/>
          <w:color w:val="auto"/>
          <w:sz w:val="24"/>
          <w:szCs w:val="24"/>
          <w:highlight w:val="none"/>
        </w:rPr>
      </w:pPr>
      <w:r>
        <w:rPr>
          <w:rFonts w:hint="eastAsia" w:ascii="宋体" w:hAnsi="宋体" w:cs="宋体"/>
          <w:color w:val="auto"/>
          <w:sz w:val="24"/>
          <w:szCs w:val="24"/>
          <w:highlight w:val="none"/>
        </w:rPr>
        <w:t xml:space="preserve">本单位郑重声明，根据《财政部民政部中国残疾人联合会关于促进残疾人就业政府采购政策的通知》（财库〔</w:t>
      </w:r>
      <w:r>
        <w:rPr>
          <w:rFonts w:ascii="宋体" w:hAnsi="宋体" w:cs="宋体"/>
          <w:color w:val="auto"/>
          <w:sz w:val="24"/>
          <w:szCs w:val="24"/>
          <w:highlight w:val="none"/>
        </w:rPr>
        <w:t xml:space="preserve">2017</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141</w:t>
      </w:r>
      <w:r>
        <w:rPr>
          <w:rFonts w:hint="eastAsia" w:ascii="宋体" w:hAnsi="宋体" w:cs="宋体"/>
          <w:color w:val="auto"/>
          <w:sz w:val="24"/>
          <w:szCs w:val="24"/>
          <w:highlight w:val="none"/>
        </w:rPr>
        <w:t xml:space="preserve">号）的规定，本单位为符合条件的残疾人福利性单位，且本单位参加</w:t>
      </w:r>
      <w:r>
        <w:rPr>
          <w:rFonts w:ascii="宋体" w:hAnsi="宋体" w:cs="宋体"/>
          <w:color w:val="auto"/>
          <w:sz w:val="24"/>
          <w:szCs w:val="24"/>
          <w:highlight w:val="none"/>
        </w:rPr>
        <w:t xml:space="preserve">______</w:t>
      </w:r>
      <w:r>
        <w:rPr>
          <w:rFonts w:hint="eastAsia" w:ascii="宋体" w:hAnsi="宋体" w:cs="宋体"/>
          <w:color w:val="auto"/>
          <w:sz w:val="24"/>
          <w:szCs w:val="24"/>
          <w:highlight w:val="none"/>
        </w:rPr>
        <w:t xml:space="preserve">单位的</w:t>
      </w:r>
      <w:r>
        <w:rPr>
          <w:rFonts w:ascii="宋体" w:hAnsi="宋体" w:cs="宋体"/>
          <w:color w:val="auto"/>
          <w:sz w:val="24"/>
          <w:szCs w:val="24"/>
          <w:highlight w:val="none"/>
        </w:rPr>
        <w:t xml:space="preserve">______</w:t>
      </w:r>
      <w:r>
        <w:rPr>
          <w:rFonts w:hint="eastAsia" w:ascii="宋体" w:hAnsi="宋体" w:cs="宋体"/>
          <w:color w:val="auto"/>
          <w:sz w:val="24"/>
          <w:szCs w:val="24"/>
          <w:highlight w:val="none"/>
        </w:rPr>
        <w:t xml:space="preserve">项目采购活动提供本单位制造的货物（由本单位承担工程</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提供服务），或者提供其他残疾人福利性单位制造的货物（不包括使用非残疾人福利性单位注册商标的货物）。</w:t>
      </w:r>
      <w:r/>
    </w:p>
    <w:p>
      <w:pPr>
        <w:ind w:firstLine="480"/>
        <w:spacing w:line="580" w:lineRule="exact"/>
        <w:rPr>
          <w:rFonts w:asci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spacing w:line="580" w:lineRule="exact"/>
        <w:rPr>
          <w:rFonts w:ascii="宋体" w:cs="宋体"/>
          <w:color w:val="auto"/>
          <w:sz w:val="24"/>
          <w:szCs w:val="24"/>
          <w:highlight w:val="none"/>
        </w:rPr>
      </w:pPr>
      <w:r>
        <w:rPr>
          <w:rFonts w:ascii="宋体" w:cs="宋体"/>
          <w:color w:val="auto"/>
          <w:sz w:val="24"/>
          <w:szCs w:val="24"/>
          <w:highlight w:val="none"/>
        </w:rPr>
      </w:r>
      <w:r/>
    </w:p>
    <w:p>
      <w:pPr>
        <w:ind w:right="1560" w:firstLine="480"/>
        <w:jc w:val="center"/>
        <w:spacing w:line="580" w:lineRule="exact"/>
        <w:tabs>
          <w:tab w:val="left" w:pos="4860" w:leader="none"/>
        </w:tabs>
        <w:rPr>
          <w:rFonts w:ascii="宋体" w:cs="宋体"/>
          <w:color w:val="auto"/>
          <w:sz w:val="24"/>
          <w:szCs w:val="24"/>
          <w:highlight w:val="none"/>
        </w:rPr>
      </w:pPr>
      <w:r>
        <w:rPr>
          <w:rFonts w:ascii="宋体" w:hAnsi="宋体" w:cs="宋体"/>
          <w:color w:val="auto"/>
          <w:sz w:val="24"/>
          <w:szCs w:val="24"/>
          <w:highlight w:val="none"/>
        </w:rPr>
        <w:t xml:space="preserve">                 </w:t>
      </w:r>
      <w:r/>
    </w:p>
    <w:p>
      <w:pPr>
        <w:ind w:right="1560" w:firstLine="480"/>
        <w:jc w:val="center"/>
        <w:spacing w:line="580" w:lineRule="exact"/>
        <w:tabs>
          <w:tab w:val="left" w:pos="4860" w:leader="none"/>
        </w:tabs>
        <w:rPr>
          <w:rFonts w:ascii="宋体" w:cs="宋体"/>
          <w:color w:val="auto"/>
          <w:sz w:val="24"/>
          <w:szCs w:val="24"/>
          <w:highlight w:val="none"/>
        </w:rPr>
      </w:pPr>
      <w:r>
        <w:rPr>
          <w:rFonts w:ascii="宋体" w:cs="宋体"/>
          <w:color w:val="auto"/>
          <w:sz w:val="24"/>
          <w:szCs w:val="24"/>
          <w:highlight w:val="none"/>
        </w:rPr>
      </w:r>
      <w:r/>
    </w:p>
    <w:p>
      <w:pPr>
        <w:ind w:firstLine="3600"/>
        <w:jc w:val="left"/>
        <w:spacing w:line="480" w:lineRule="auto"/>
        <w:rPr>
          <w:rFonts w:ascii="宋体" w:hAnsi="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olor w:val="auto"/>
          <w:sz w:val="24"/>
          <w:szCs w:val="24"/>
          <w:highlight w:val="none"/>
        </w:rPr>
        <w:t xml:space="preserve">企业名称</w:t>
      </w:r>
      <w:r>
        <w:rPr>
          <w:rFonts w:hint="eastAsia" w:ascii="宋体" w:hAnsi="宋体" w:cs="宋体"/>
          <w:color w:val="auto"/>
          <w:sz w:val="24"/>
          <w:highlight w:val="none"/>
        </w:rPr>
        <w:t xml:space="preserve">（加盖CA电子公章）</w:t>
      </w:r>
      <w:r>
        <w:rPr>
          <w:rFonts w:hint="eastAsia" w:ascii="宋体" w:hAnsi="宋体"/>
          <w:color w:val="auto"/>
          <w:sz w:val="24"/>
          <w:szCs w:val="24"/>
          <w:highlight w:val="none"/>
        </w:rPr>
        <w:t xml:space="preserve">：</w:t>
      </w:r>
      <w:r/>
    </w:p>
    <w:p>
      <w:pPr>
        <w:ind w:right="1560" w:firstLine="480"/>
        <w:jc w:val="center"/>
        <w:spacing w:line="580" w:lineRule="exact"/>
        <w:tabs>
          <w:tab w:val="left" w:pos="4860" w:leader="none"/>
        </w:tabs>
        <w:rPr>
          <w:rFonts w:ascii="宋体" w:cs="宋体"/>
          <w:b/>
          <w:bCs/>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期：</w:t>
      </w:r>
      <w:r/>
    </w:p>
    <w:p>
      <w:pPr>
        <w:rPr>
          <w:rFonts w:ascii="宋体" w:cs="宋体"/>
          <w:color w:val="auto"/>
          <w:sz w:val="24"/>
          <w:szCs w:val="24"/>
          <w:highlight w:val="none"/>
        </w:rPr>
      </w:pPr>
      <w:r>
        <w:rPr>
          <w:rFonts w:ascii="宋体" w:cs="宋体"/>
          <w:color w:val="auto"/>
          <w:sz w:val="24"/>
          <w:szCs w:val="24"/>
          <w:highlight w:val="none"/>
        </w:rPr>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rPr>
          <w:rFonts w:ascii="宋体" w:hAnsi="宋体"/>
          <w:color w:val="auto"/>
          <w:sz w:val="32"/>
          <w:szCs w:val="24"/>
          <w:highlight w:val="none"/>
        </w:rPr>
      </w:pPr>
      <w:r>
        <w:rPr>
          <w:rFonts w:ascii="宋体" w:hAnsi="宋体"/>
          <w:color w:val="auto"/>
          <w:sz w:val="32"/>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bCs/>
          <w:color w:val="auto"/>
          <w:sz w:val="36"/>
          <w:szCs w:val="36"/>
          <w:highlight w:val="none"/>
        </w:rPr>
      </w:pPr>
      <w:r/>
      <w:bookmarkStart w:id="175" w:name="OLE_LINK13"/>
      <w:r/>
      <w:bookmarkStart w:id="176" w:name="OLE_LINK14"/>
      <w:r/>
      <w:bookmarkEnd w:id="175"/>
      <w:r/>
      <w:bookmarkEnd w:id="176"/>
      <w:r/>
      <w:r/>
    </w:p>
    <w:p>
      <w:pPr>
        <w:ind w:firstLine="4337"/>
        <w:jc w:val="left"/>
        <w:spacing w:line="480" w:lineRule="auto"/>
        <w:rPr>
          <w:rFonts w:eastAsia="黑体"/>
          <w:b/>
          <w:bCs/>
          <w:color w:val="auto"/>
          <w:sz w:val="36"/>
          <w:szCs w:val="44"/>
          <w:highlight w:val="none"/>
        </w:rPr>
      </w:pPr>
      <w:r>
        <w:rPr>
          <w:rFonts w:eastAsia="黑体"/>
          <w:b/>
          <w:bCs/>
          <w:color w:val="auto"/>
          <w:sz w:val="36"/>
          <w:szCs w:val="44"/>
          <w:highlight w:val="none"/>
        </w:rPr>
      </w:r>
      <w:r/>
    </w:p>
    <w:p>
      <w:pPr>
        <w:ind w:firstLine="4337"/>
        <w:jc w:val="left"/>
        <w:spacing w:line="480" w:lineRule="auto"/>
        <w:rPr>
          <w:rFonts w:eastAsia="黑体"/>
          <w:b/>
          <w:bCs/>
          <w:color w:val="auto"/>
          <w:sz w:val="36"/>
          <w:szCs w:val="44"/>
          <w:highlight w:val="none"/>
        </w:rPr>
      </w:pPr>
      <w:r>
        <w:rPr>
          <w:rFonts w:eastAsia="黑体"/>
          <w:b/>
          <w:bCs/>
          <w:color w:val="auto"/>
          <w:sz w:val="36"/>
          <w:szCs w:val="44"/>
          <w:highlight w:val="none"/>
        </w:rPr>
      </w:r>
      <w:r/>
    </w:p>
    <w:p>
      <w:pPr>
        <w:ind w:firstLine="4337"/>
        <w:jc w:val="left"/>
        <w:spacing w:line="480" w:lineRule="auto"/>
        <w:rPr>
          <w:rFonts w:eastAsia="黑体"/>
          <w:b/>
          <w:bCs/>
          <w:color w:val="auto"/>
          <w:sz w:val="36"/>
          <w:szCs w:val="44"/>
          <w:highlight w:val="none"/>
        </w:rPr>
      </w:pPr>
      <w:r>
        <w:rPr>
          <w:rFonts w:eastAsia="黑体"/>
          <w:b/>
          <w:bCs/>
          <w:color w:val="auto"/>
          <w:sz w:val="36"/>
          <w:szCs w:val="44"/>
          <w:highlight w:val="none"/>
        </w:rPr>
      </w:r>
      <w:r/>
    </w:p>
    <w:p>
      <w:pPr>
        <w:ind w:firstLine="4337"/>
        <w:jc w:val="left"/>
        <w:spacing w:line="480" w:lineRule="auto"/>
        <w:rPr>
          <w:rFonts w:eastAsia="黑体"/>
          <w:b/>
          <w:bCs/>
          <w:color w:val="auto"/>
          <w:sz w:val="36"/>
          <w:szCs w:val="44"/>
          <w:highlight w:val="none"/>
        </w:rPr>
      </w:pPr>
      <w:r>
        <w:rPr>
          <w:rFonts w:eastAsia="黑体"/>
          <w:b/>
          <w:bCs/>
          <w:color w:val="auto"/>
          <w:sz w:val="36"/>
          <w:szCs w:val="44"/>
          <w:highlight w:val="none"/>
        </w:rPr>
      </w:r>
      <w:r/>
    </w:p>
    <w:p>
      <w:pPr>
        <w:jc w:val="left"/>
        <w:spacing w:line="480" w:lineRule="auto"/>
        <w:rPr>
          <w:rFonts w:eastAsia="黑体"/>
          <w:b/>
          <w:bCs/>
          <w:color w:val="auto"/>
          <w:sz w:val="36"/>
          <w:szCs w:val="44"/>
          <w:highlight w:val="none"/>
        </w:rPr>
      </w:pPr>
      <w:r>
        <w:rPr>
          <w:rFonts w:eastAsia="黑体"/>
          <w:b/>
          <w:bCs/>
          <w:color w:val="auto"/>
          <w:sz w:val="36"/>
          <w:szCs w:val="44"/>
          <w:highlight w:val="none"/>
        </w:rPr>
      </w:r>
      <w:r/>
    </w:p>
    <w:p>
      <w:pPr>
        <w:ind w:firstLine="3213"/>
        <w:jc w:val="left"/>
        <w:spacing w:line="480" w:lineRule="auto"/>
        <w:rPr>
          <w:rFonts w:eastAsia="黑体"/>
          <w:b/>
          <w:bCs/>
          <w:color w:val="auto"/>
          <w:sz w:val="32"/>
          <w:szCs w:val="40"/>
          <w:highlight w:val="none"/>
        </w:rPr>
      </w:pPr>
      <w:r>
        <w:rPr>
          <w:rFonts w:hint="eastAsia" w:eastAsia="黑体"/>
          <w:b/>
          <w:bCs/>
          <w:color w:val="auto"/>
          <w:sz w:val="32"/>
          <w:szCs w:val="40"/>
          <w:highlight w:val="none"/>
        </w:rPr>
        <w:t xml:space="preserve">监狱企业证明文件</w:t>
      </w:r>
      <w:r/>
    </w:p>
    <w:p>
      <w:pPr>
        <w:ind w:firstLine="720"/>
        <w:jc w:val="left"/>
        <w:spacing w:line="480" w:lineRule="auto"/>
        <w:rPr>
          <w:rFonts w:ascii="宋体"/>
          <w:bCs/>
          <w:color w:val="auto"/>
          <w:sz w:val="24"/>
          <w:szCs w:val="24"/>
          <w:highlight w:val="none"/>
        </w:rPr>
      </w:pPr>
      <w:r>
        <w:rPr>
          <w:rFonts w:hint="eastAsia" w:ascii="宋体" w:hAnsi="宋体" w:cs="宋体"/>
          <w:color w:val="auto"/>
          <w:sz w:val="24"/>
          <w:szCs w:val="24"/>
          <w:highlight w:val="none"/>
        </w:rPr>
        <w:t xml:space="preserve">监狱企业参加政府采购活动时，需提供由省级以上监狱管理局、戒毒管理局</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含新疆生产建设兵团</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出具的属于监狱企业的证明文件复印件加盖申请人公章。</w:t>
      </w:r>
      <w:r/>
    </w:p>
    <w:p>
      <w:pPr>
        <w:ind w:firstLine="240"/>
        <w:jc w:val="lef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77"/>
        <w:ind w:firstLine="480"/>
        <w:spacing w:line="360" w:lineRule="auto"/>
        <w:rPr>
          <w:rFonts w:ascii="宋体" w:hAnsi="宋体" w:cs="宋体"/>
          <w:color w:val="auto"/>
          <w:highlight w:val="none"/>
        </w:rPr>
      </w:pPr>
      <w:r>
        <w:rPr>
          <w:rFonts w:hint="eastAsia" w:ascii="宋体" w:hAnsi="宋体" w:cs="宋体"/>
          <w:color w:val="auto"/>
          <w:sz w:val="24"/>
          <w:szCs w:val="24"/>
          <w:highlight w:val="none"/>
        </w:rPr>
        <w:t xml:space="preserve">备注：监狱企业标准请参照《关于政府采购支持监狱企业发展有关问题的通知》（财库〔2014〕68号）。</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1031"/>
        <w:jc w:val="center"/>
        <w:keepNext w:val="0"/>
        <w:widowControl/>
        <w:rPr>
          <w:rFonts w:ascii="宋体" w:hAnsi="宋体" w:eastAsia="宋体" w:cs="宋体"/>
          <w:color w:val="auto"/>
          <w:sz w:val="32"/>
          <w:szCs w:val="32"/>
          <w:highlight w:val="none"/>
        </w:rPr>
        <w:outlineLvl w:val="2"/>
      </w:pPr>
      <w:r>
        <w:rPr>
          <w:rFonts w:ascii="宋体" w:hAnsi="宋体" w:eastAsia="宋体" w:cs="宋体"/>
          <w:color w:val="auto"/>
          <w:sz w:val="32"/>
          <w:szCs w:val="32"/>
          <w:highlight w:val="none"/>
        </w:rPr>
      </w:r>
      <w:r/>
    </w:p>
    <w:p>
      <w:pPr>
        <w:ind w:firstLine="2891"/>
        <w:jc w:val="left"/>
        <w:spacing w:line="48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891"/>
        <w:jc w:val="left"/>
        <w:spacing w:line="48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、响应报价表</w:t>
      </w:r>
      <w:r/>
    </w:p>
    <w:p>
      <w:pPr>
        <w:pStyle w:val="1054"/>
        <w:jc w:val="left"/>
        <w:rPr>
          <w:color w:val="auto"/>
          <w:highlight w:val="none"/>
        </w:rPr>
      </w:pPr>
      <w:r>
        <w:rPr>
          <w:rFonts w:hint="eastAsia"/>
          <w:color w:val="auto"/>
          <w:highlight w:val="none"/>
        </w:rPr>
        <w:t xml:space="preserve">项目编号：</w:t>
      </w:r>
      <w:r/>
    </w:p>
    <w:p>
      <w:pPr>
        <w:pStyle w:val="1054"/>
        <w:rPr>
          <w:color w:val="auto"/>
          <w:highlight w:val="none"/>
        </w:rPr>
      </w:pPr>
      <w:r>
        <w:rPr>
          <w:rFonts w:hint="eastAsia"/>
          <w:color w:val="auto"/>
          <w:highlight w:val="none"/>
        </w:rPr>
        <w:t xml:space="preserve">货币单位</w:t>
      </w:r>
      <w:r>
        <w:rPr>
          <w:rFonts w:hint="eastAsia"/>
          <w:color w:val="auto"/>
          <w:highlight w:val="none"/>
          <w:lang w:eastAsia="zh-CN"/>
        </w:rPr>
        <w:t xml:space="preserve">：</w:t>
      </w:r>
      <w:r>
        <w:rPr>
          <w:rFonts w:hint="eastAsia"/>
          <w:color w:val="auto"/>
          <w:highlight w:val="none"/>
        </w:rPr>
        <w:t xml:space="preserve">人民币元</w:t>
      </w:r>
      <w:r/>
    </w:p>
    <w:tbl>
      <w:tblPr>
        <w:tblStyle w:val="846"/>
        <w:tblW w:w="974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21"/>
        <w:gridCol w:w="1861"/>
        <w:gridCol w:w="5160"/>
      </w:tblGrid>
      <w:tr>
        <w:trPr>
          <w:trHeight w:val="478"/>
        </w:trPr>
        <w:tc>
          <w:tcPr>
            <w:tcW w:w="2721" w:type="dxa"/>
            <w:vAlign w:val="center"/>
            <w:textDirection w:val="lrTb"/>
            <w:noWrap w:val="false"/>
          </w:tcPr>
          <w:p>
            <w:pPr>
              <w:pStyle w:val="1054"/>
              <w:ind w:firstLine="720"/>
              <w:rPr>
                <w:color w:val="auto"/>
                <w:highlight w:val="none"/>
              </w:rPr>
            </w:pPr>
            <w:r>
              <w:rPr>
                <w:rFonts w:hint="eastAsia"/>
                <w:color w:val="auto"/>
                <w:highlight w:val="none"/>
              </w:rPr>
              <w:t xml:space="preserve">项目名称</w:t>
            </w:r>
            <w:r/>
          </w:p>
        </w:tc>
        <w:tc>
          <w:tcPr>
            <w:tcW w:w="1861" w:type="dxa"/>
            <w:vAlign w:val="center"/>
            <w:textDirection w:val="lrTb"/>
            <w:noWrap w:val="false"/>
          </w:tcPr>
          <w:p>
            <w:pPr>
              <w:pStyle w:val="1054"/>
              <w:ind w:firstLine="480"/>
              <w:rPr>
                <w:color w:val="auto"/>
                <w:highlight w:val="none"/>
              </w:rPr>
            </w:pPr>
            <w:r>
              <w:rPr>
                <w:rFonts w:hint="eastAsia"/>
                <w:color w:val="auto"/>
                <w:highlight w:val="none"/>
              </w:rPr>
              <w:t xml:space="preserve">项目内容</w:t>
            </w:r>
            <w:r/>
          </w:p>
        </w:tc>
        <w:tc>
          <w:tcPr>
            <w:tcW w:w="5160" w:type="dxa"/>
            <w:vAlign w:val="center"/>
            <w:textDirection w:val="lrTb"/>
            <w:noWrap w:val="false"/>
          </w:tcPr>
          <w:p>
            <w:pPr>
              <w:pStyle w:val="1054"/>
              <w:ind w:firstLine="1200"/>
              <w:rPr>
                <w:color w:val="auto"/>
                <w:highlight w:val="none"/>
              </w:rPr>
            </w:pPr>
            <w:r>
              <w:rPr>
                <w:rFonts w:hint="eastAsia"/>
                <w:color w:val="auto"/>
                <w:highlight w:val="none"/>
              </w:rPr>
              <w:t xml:space="preserve">总价（小写）</w:t>
            </w:r>
            <w:r/>
          </w:p>
        </w:tc>
      </w:tr>
      <w:tr>
        <w:trPr>
          <w:trHeight w:val="932"/>
        </w:trPr>
        <w:tc>
          <w:tcPr>
            <w:tcW w:w="2721" w:type="dxa"/>
            <w:vAlign w:val="center"/>
            <w:textDirection w:val="lrTb"/>
            <w:noWrap w:val="false"/>
          </w:tcPr>
          <w:p>
            <w:pPr>
              <w:keepLines w:val="0"/>
              <w:keepNext w:val="0"/>
              <w:pageBreakBefore w:val="0"/>
              <w:spacing w:line="50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胡庄镇人民政府食堂管理服务项目（2025年12月-2026年11月）</w:t>
            </w:r>
            <w:r/>
          </w:p>
        </w:tc>
        <w:tc>
          <w:tcPr>
            <w:tcW w:w="1861" w:type="dxa"/>
            <w:vAlign w:val="center"/>
            <w:textDirection w:val="lrTb"/>
            <w:noWrap w:val="false"/>
          </w:tcPr>
          <w:p>
            <w:pPr>
              <w:pStyle w:val="1054"/>
              <w:ind w:firstLine="240"/>
              <w:rPr>
                <w:color w:val="auto"/>
                <w:highlight w:val="none"/>
              </w:rPr>
            </w:pPr>
            <w:r>
              <w:rPr>
                <w:rFonts w:hint="eastAsia"/>
                <w:color w:val="auto"/>
                <w:highlight w:val="none"/>
              </w:rPr>
              <w:t xml:space="preserve">详见响应文件</w:t>
            </w:r>
            <w:r/>
          </w:p>
        </w:tc>
        <w:tc>
          <w:tcPr>
            <w:tcW w:w="5160" w:type="dxa"/>
            <w:vAlign w:val="center"/>
            <w:textDirection w:val="lrTb"/>
            <w:noWrap w:val="false"/>
          </w:tcPr>
          <w:p>
            <w:pPr>
              <w:pStyle w:val="1054"/>
              <w:ind w:firstLine="2160"/>
              <w:rPr>
                <w:rFonts w:hint="default" w:eastAsia="宋体"/>
                <w:color w:val="auto"/>
                <w:highlight w:val="none"/>
                <w:shd w:val="clear" w:color="auto" w:fill="ffffff"/>
                <w:lang w:val="en-US" w:eastAsia="zh-CN"/>
              </w:rPr>
            </w:pPr>
            <w:r>
              <w:rPr>
                <w:rFonts w:hint="eastAsia"/>
                <w:color w:val="auto"/>
                <w:highlight w:val="none"/>
                <w:u w:val="none"/>
                <w:shd w:val="clear" w:color="auto" w:fill="ffffff"/>
                <w:lang w:val="en-US" w:eastAsia="zh-CN"/>
              </w:rPr>
              <w:t xml:space="preserve">元</w:t>
            </w:r>
            <w:r/>
          </w:p>
        </w:tc>
      </w:tr>
      <w:tr>
        <w:trPr>
          <w:trHeight w:val="627"/>
        </w:trPr>
        <w:tc>
          <w:tcPr>
            <w:gridSpan w:val="3"/>
            <w:tcW w:w="9742" w:type="dxa"/>
            <w:vAlign w:val="center"/>
            <w:textDirection w:val="lrTb"/>
            <w:noWrap w:val="false"/>
          </w:tcPr>
          <w:p>
            <w:pPr>
              <w:pStyle w:val="1054"/>
              <w:rPr>
                <w:color w:val="auto"/>
                <w:highlight w:val="none"/>
              </w:rPr>
            </w:pPr>
            <w:r>
              <w:rPr>
                <w:rFonts w:hint="eastAsia"/>
                <w:color w:val="auto"/>
                <w:highlight w:val="none"/>
              </w:rPr>
              <w:t xml:space="preserve">总价（</w:t>
            </w:r>
            <w:r>
              <w:rPr>
                <w:rFonts w:hint="eastAsia"/>
                <w:color w:val="auto"/>
                <w:highlight w:val="none"/>
                <w:lang w:val="en-US" w:eastAsia="zh-CN"/>
              </w:rPr>
              <w:t xml:space="preserve">大</w:t>
            </w:r>
            <w:r>
              <w:rPr>
                <w:rFonts w:hint="eastAsia"/>
                <w:color w:val="auto"/>
                <w:highlight w:val="none"/>
              </w:rPr>
              <w:t xml:space="preserve">写）： </w:t>
            </w:r>
            <w:r/>
          </w:p>
        </w:tc>
      </w:tr>
    </w:tbl>
    <w:p>
      <w:pPr>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以上费用</w:t>
      </w:r>
      <w:r>
        <w:rPr>
          <w:rFonts w:hint="eastAsia" w:ascii="宋体" w:hAnsi="宋体"/>
          <w:bCs/>
          <w:color w:val="auto"/>
          <w:sz w:val="24"/>
          <w:szCs w:val="24"/>
          <w:highlight w:val="none"/>
        </w:rPr>
        <w:t xml:space="preserve">应包含为实施本项目所需的一切</w:t>
      </w:r>
      <w:r>
        <w:rPr>
          <w:rFonts w:hint="eastAsia" w:ascii="宋体" w:hAnsi="宋体"/>
          <w:color w:val="auto"/>
          <w:sz w:val="24"/>
          <w:szCs w:val="24"/>
          <w:highlight w:val="none"/>
        </w:rPr>
        <w:t xml:space="preserve">含税费用、支付给员工的工资和国家强制缴纳的各种社会保障资金，以及供应商认为需要的其他费用等，</w:t>
      </w:r>
      <w:r>
        <w:rPr>
          <w:rFonts w:hint="eastAsia" w:ascii="宋体" w:hAnsi="宋体"/>
          <w:bCs/>
          <w:color w:val="auto"/>
          <w:sz w:val="24"/>
          <w:szCs w:val="24"/>
          <w:highlight w:val="none"/>
        </w:rPr>
        <w:t xml:space="preserve">固定总价不随通货膨胀的影响而波动。</w:t>
      </w:r>
      <w:r/>
    </w:p>
    <w:p>
      <w:pPr>
        <w:ind w:firstLine="480"/>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2、该表报价非本次磋商的最后报价。</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Style w:val="1122"/>
          <w:rFonts w:ascii="宋体" w:hAnsi="宋体" w:cs="宋体"/>
          <w:bCs/>
          <w:i/>
          <w:color w:val="auto"/>
          <w:sz w:val="24"/>
          <w:highlight w:val="none"/>
        </w:rPr>
      </w:pPr>
      <w:r>
        <w:rPr>
          <w:rFonts w:ascii="宋体" w:hAnsi="宋体" w:cs="宋体"/>
          <w:bCs/>
          <w:i/>
          <w:color w:val="auto"/>
          <w:sz w:val="24"/>
          <w:highlight w:val="none"/>
        </w:rPr>
      </w:r>
      <w:r/>
    </w:p>
    <w:p>
      <w:pPr>
        <w:jc w:val="center"/>
        <w:spacing w:line="360" w:lineRule="auto"/>
        <w:rPr>
          <w:rStyle w:val="1122"/>
          <w:rFonts w:ascii="宋体" w:hAnsi="宋体" w:cs="宋体"/>
          <w:bCs/>
          <w:i/>
          <w:color w:val="auto"/>
          <w:sz w:val="24"/>
          <w:highlight w:val="none"/>
        </w:rPr>
      </w:pPr>
      <w:r>
        <w:rPr>
          <w:rFonts w:ascii="宋体" w:hAnsi="宋体" w:cs="宋体"/>
          <w:bCs/>
          <w:i/>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pStyle w:val="107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法定代表人或授权代表（签字或盖章）：</w:t>
      </w:r>
      <w:r/>
    </w:p>
    <w:p>
      <w:pPr>
        <w:pStyle w:val="107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pStyle w:val="107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13"/>
        <w:jc w:val="left"/>
        <w:spacing w:line="48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13"/>
        <w:jc w:val="left"/>
        <w:spacing w:line="48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四</w:t>
      </w:r>
      <w:r>
        <w:rPr>
          <w:rFonts w:hint="eastAsia" w:ascii="宋体" w:hAnsi="宋体" w:cs="宋体"/>
          <w:b/>
          <w:bCs/>
          <w:color w:val="auto"/>
          <w:sz w:val="32"/>
          <w:szCs w:val="32"/>
          <w:highlight w:val="none"/>
        </w:rPr>
        <w:t xml:space="preserve">、分项报价表</w:t>
      </w:r>
      <w:r/>
    </w:p>
    <w:p>
      <w:pPr>
        <w:pStyle w:val="857"/>
        <w:ind w:left="0" w:firstLine="0"/>
        <w:spacing w:line="360" w:lineRule="auto"/>
        <w:rPr>
          <w:rFonts w:hAnsi="宋体"/>
          <w:color w:val="auto"/>
          <w:sz w:val="24"/>
          <w:szCs w:val="24"/>
          <w:highlight w:val="none"/>
        </w:rPr>
      </w:pPr>
      <w:r>
        <w:rPr>
          <w:rFonts w:hint="eastAsia" w:ascii="宋体" w:hAnsi="宋体"/>
          <w:color w:val="auto"/>
          <w:sz w:val="24"/>
          <w:szCs w:val="24"/>
          <w:highlight w:val="none"/>
        </w:rPr>
        <w:t xml:space="preserve">项目名称：</w:t>
      </w:r>
      <w:r>
        <w:rPr>
          <w:rFonts w:hint="eastAsia" w:hAnsi="宋体"/>
          <w:color w:val="auto"/>
          <w:sz w:val="24"/>
          <w:szCs w:val="24"/>
          <w:highlight w:val="none"/>
        </w:rPr>
        <w:t xml:space="preserve">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单 价（元）</w:t>
      </w:r>
      <w:r/>
    </w:p>
    <w:tbl>
      <w:tblPr>
        <w:tblStyle w:val="846"/>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2625"/>
        <w:gridCol w:w="840"/>
        <w:gridCol w:w="960"/>
        <w:gridCol w:w="1905"/>
        <w:gridCol w:w="1815"/>
        <w:gridCol w:w="975"/>
      </w:tblGrid>
      <w:tr>
        <w:trPr>
          <w:jc w:val="center"/>
          <w:trHeight w:val="454"/>
        </w:trPr>
        <w:tc>
          <w:tcPr>
            <w:tcW w:w="465" w:type="dxa"/>
            <w:vAlign w:val="center"/>
            <w:textDirection w:val="lrTb"/>
            <w:noWrap w:val="false"/>
          </w:tcPr>
          <w:p>
            <w:pPr>
              <w:pStyle w:val="849"/>
              <w:ind w:left="0" w:firstLine="0"/>
              <w:spacing w:line="360" w:lineRule="auto"/>
              <w:rPr>
                <w:rFonts w:hint="eastAsia" w:ascii="宋体" w:hAnsi="宋体"/>
                <w:color w:val="auto"/>
                <w:sz w:val="24"/>
                <w:szCs w:val="24"/>
                <w:highlight w:val="none"/>
              </w:rPr>
              <w:outlineLvl w:val="1"/>
            </w:pPr>
            <w:r>
              <w:rPr>
                <w:rFonts w:hint="eastAsia" w:ascii="宋体" w:hAnsi="宋体"/>
                <w:color w:val="auto"/>
                <w:sz w:val="24"/>
                <w:szCs w:val="24"/>
                <w:highlight w:val="none"/>
              </w:rPr>
              <w:t xml:space="preserve">序</w:t>
            </w:r>
            <w:r/>
          </w:p>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号</w:t>
            </w:r>
            <w:r/>
          </w:p>
        </w:tc>
        <w:tc>
          <w:tcPr>
            <w:tcW w:w="262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名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称</w:t>
            </w:r>
            <w:r/>
          </w:p>
        </w:tc>
        <w:tc>
          <w:tcPr>
            <w:tcW w:w="840"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数量</w:t>
            </w:r>
            <w:r/>
          </w:p>
        </w:tc>
        <w:tc>
          <w:tcPr>
            <w:tcW w:w="960"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单位</w:t>
            </w:r>
            <w:r/>
          </w:p>
        </w:tc>
        <w:tc>
          <w:tcPr>
            <w:tcW w:w="1905" w:type="dxa"/>
            <w:vAlign w:val="center"/>
            <w:textDirection w:val="lrTb"/>
            <w:noWrap w:val="false"/>
          </w:tcPr>
          <w:p>
            <w:pPr>
              <w:pStyle w:val="849"/>
              <w:ind w:firstLine="24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单 价（元）</w:t>
            </w:r>
            <w:r/>
          </w:p>
        </w:tc>
        <w:tc>
          <w:tcPr>
            <w:tcW w:w="1815"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计（元）</w:t>
            </w:r>
            <w:r/>
          </w:p>
        </w:tc>
        <w:tc>
          <w:tcPr>
            <w:tcW w:w="975"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备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注</w:t>
            </w:r>
            <w:r/>
          </w:p>
        </w:tc>
      </w:tr>
      <w:tr>
        <w:trPr>
          <w:jc w:val="center"/>
          <w:trHeight w:val="454"/>
        </w:trPr>
        <w:tc>
          <w:tcPr>
            <w:tcW w:w="465"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1</w:t>
            </w:r>
            <w:r/>
          </w:p>
        </w:tc>
        <w:tc>
          <w:tcPr>
            <w:tcW w:w="262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840"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60" w:type="dxa"/>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90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81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7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r>
      <w:tr>
        <w:trPr>
          <w:jc w:val="center"/>
          <w:trHeight w:val="70"/>
        </w:trPr>
        <w:tc>
          <w:tcPr>
            <w:tcW w:w="465"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2</w:t>
            </w:r>
            <w:r/>
          </w:p>
        </w:tc>
        <w:tc>
          <w:tcPr>
            <w:tcW w:w="262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840"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60" w:type="dxa"/>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90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81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7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r>
      <w:tr>
        <w:trPr>
          <w:jc w:val="center"/>
          <w:trHeight w:val="454"/>
        </w:trPr>
        <w:tc>
          <w:tcPr>
            <w:tcW w:w="465"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3</w:t>
            </w:r>
            <w:r/>
          </w:p>
        </w:tc>
        <w:tc>
          <w:tcPr>
            <w:tcW w:w="262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840"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60" w:type="dxa"/>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90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81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7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r>
      <w:tr>
        <w:trPr>
          <w:jc w:val="center"/>
          <w:trHeight w:val="454"/>
        </w:trPr>
        <w:tc>
          <w:tcPr>
            <w:tcW w:w="465"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4</w:t>
            </w:r>
            <w:r/>
          </w:p>
        </w:tc>
        <w:tc>
          <w:tcPr>
            <w:tcW w:w="262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840"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60" w:type="dxa"/>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90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81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7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r>
      <w:tr>
        <w:trPr>
          <w:jc w:val="center"/>
          <w:trHeight w:val="454"/>
        </w:trPr>
        <w:tc>
          <w:tcPr>
            <w:tcW w:w="465"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5</w:t>
            </w:r>
            <w:r/>
          </w:p>
        </w:tc>
        <w:tc>
          <w:tcPr>
            <w:tcW w:w="262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840"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60" w:type="dxa"/>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90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81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7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r>
      <w:tr>
        <w:trPr>
          <w:jc w:val="center"/>
          <w:trHeight w:val="454"/>
        </w:trPr>
        <w:tc>
          <w:tcPr>
            <w:tcW w:w="465" w:type="dxa"/>
            <w:vAlign w:val="center"/>
            <w:textDirection w:val="lrTb"/>
            <w:noWrap w:val="false"/>
          </w:tcPr>
          <w:p>
            <w:pPr>
              <w:pStyle w:val="849"/>
              <w:ind w:left="0" w:firstLine="0"/>
              <w:spacing w:line="360" w:lineRule="auto"/>
              <w:rPr>
                <w:rFonts w:ascii="宋体" w:hAnsi="宋体"/>
                <w:color w:val="auto"/>
                <w:sz w:val="24"/>
                <w:szCs w:val="24"/>
                <w:highlight w:val="none"/>
              </w:rPr>
              <w:outlineLvl w:val="1"/>
            </w:pPr>
            <w:r>
              <w:rPr>
                <w:rFonts w:ascii="宋体" w:hAnsi="宋体"/>
                <w:color w:val="auto"/>
                <w:sz w:val="24"/>
                <w:szCs w:val="24"/>
                <w:highlight w:val="none"/>
              </w:rPr>
              <w:t xml:space="preserve">…</w:t>
            </w:r>
            <w:r/>
          </w:p>
        </w:tc>
        <w:tc>
          <w:tcPr>
            <w:tcW w:w="262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840"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60" w:type="dxa"/>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90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181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c>
          <w:tcPr>
            <w:tcW w:w="975" w:type="dxa"/>
            <w:vAlign w:val="center"/>
            <w:textDirection w:val="lrTb"/>
            <w:noWrap w:val="false"/>
          </w:tcPr>
          <w:p>
            <w:pPr>
              <w:pStyle w:val="849"/>
              <w:ind w:firstLine="520"/>
              <w:spacing w:line="360" w:lineRule="auto"/>
              <w:rPr>
                <w:rFonts w:ascii="宋体" w:hAnsi="宋体"/>
                <w:color w:val="auto"/>
                <w:sz w:val="24"/>
                <w:szCs w:val="24"/>
                <w:highlight w:val="none"/>
              </w:rPr>
              <w:outlineLvl w:val="1"/>
            </w:pPr>
            <w:r>
              <w:rPr>
                <w:rFonts w:ascii="宋体" w:hAnsi="宋体"/>
                <w:color w:val="auto"/>
                <w:sz w:val="24"/>
                <w:szCs w:val="24"/>
                <w:highlight w:val="none"/>
              </w:rPr>
            </w:r>
            <w:r/>
          </w:p>
        </w:tc>
      </w:tr>
      <w:tr>
        <w:trPr>
          <w:jc w:val="center"/>
          <w:trHeight w:val="454"/>
        </w:trPr>
        <w:tc>
          <w:tcPr>
            <w:gridSpan w:val="2"/>
            <w:tcW w:w="3090" w:type="dxa"/>
            <w:vAlign w:val="center"/>
            <w:textDirection w:val="lrTb"/>
            <w:noWrap w:val="false"/>
          </w:tcPr>
          <w:p>
            <w:pPr>
              <w:pStyle w:val="849"/>
              <w:ind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响应总报价（包含税费等所有费用）：</w:t>
            </w:r>
            <w:r/>
          </w:p>
        </w:tc>
        <w:tc>
          <w:tcPr>
            <w:gridSpan w:val="5"/>
            <w:tcW w:w="6495" w:type="dxa"/>
            <w:textDirection w:val="lrTb"/>
            <w:noWrap w:val="false"/>
          </w:tcPr>
          <w:p>
            <w:pPr>
              <w:pStyle w:val="849"/>
              <w:ind w:firstLine="52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（小写）：</w:t>
            </w:r>
            <w:r/>
          </w:p>
          <w:p>
            <w:pPr>
              <w:pStyle w:val="849"/>
              <w:ind w:firstLine="52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（大写）：</w:t>
            </w:r>
            <w:r/>
          </w:p>
        </w:tc>
      </w:tr>
    </w:tbl>
    <w:p>
      <w:pPr>
        <w:pStyle w:val="849"/>
        <w:ind w:firstLine="520"/>
        <w:rPr>
          <w:rFonts w:ascii="宋体" w:hAnsi="宋体"/>
          <w:bCs/>
          <w:color w:val="auto"/>
          <w:sz w:val="24"/>
          <w:szCs w:val="24"/>
          <w:highlight w:val="none"/>
        </w:rPr>
        <w:outlineLvl w:val="1"/>
      </w:pPr>
      <w:r>
        <w:rPr>
          <w:rFonts w:ascii="宋体" w:hAnsi="宋体"/>
          <w:bCs/>
          <w:color w:val="auto"/>
          <w:sz w:val="24"/>
          <w:szCs w:val="24"/>
          <w:highlight w:val="none"/>
        </w:rPr>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投标报价具体要求如下：</w:t>
      </w:r>
      <w:r/>
    </w:p>
    <w:p>
      <w:pPr>
        <w:spacing w:line="360" w:lineRule="auto"/>
        <w:rPr>
          <w:rFonts w:ascii="宋体" w:hAnsi="宋体" w:cs="宋体"/>
          <w:color w:val="auto"/>
          <w:sz w:val="24"/>
          <w:szCs w:val="24"/>
          <w:highlight w:val="none"/>
        </w:rPr>
      </w:pPr>
      <w:r/>
      <w:bookmarkStart w:id="177" w:name="_Hlt26955052"/>
      <w:r/>
      <w:bookmarkEnd w:id="177"/>
      <w:r/>
      <w:bookmarkStart w:id="178" w:name="_Hlt26955045"/>
      <w:r/>
      <w:bookmarkEnd w:id="178"/>
      <w:r>
        <w:rPr>
          <w:rFonts w:ascii="宋体" w:hAnsi="宋体" w:cs="宋体"/>
          <w:color w:val="auto"/>
          <w:sz w:val="24"/>
          <w:szCs w:val="24"/>
          <w:highlight w:val="none"/>
        </w:rPr>
        <w:t xml:space="preserve">    1</w:t>
      </w:r>
      <w:r>
        <w:rPr>
          <w:rFonts w:hint="eastAsia" w:ascii="宋体" w:hAnsi="宋体" w:cs="宋体"/>
          <w:color w:val="auto"/>
          <w:sz w:val="24"/>
          <w:szCs w:val="24"/>
          <w:highlight w:val="none"/>
        </w:rPr>
        <w:t xml:space="preserve">、所有价格用人民币表示。</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、如果单价和总价不符时，以单价为准。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、请各供应商按照上述表格形式按预算清单逐项填写，上</w:t>
      </w:r>
      <w:r>
        <w:rPr>
          <w:rFonts w:hint="eastAsia" w:ascii="宋体" w:hAnsi="宋体" w:cs="宋体"/>
          <w:color w:val="auto"/>
          <w:sz w:val="24"/>
          <w:szCs w:val="24"/>
          <w:highlight w:val="none"/>
          <w:lang w:val="en-US" w:eastAsia="zh-CN"/>
        </w:rPr>
        <w:t xml:space="preserve">述</w:t>
      </w:r>
      <w:r>
        <w:rPr>
          <w:rFonts w:hint="eastAsia" w:ascii="宋体" w:hAnsi="宋体" w:cs="宋体"/>
          <w:color w:val="auto"/>
          <w:sz w:val="24"/>
          <w:szCs w:val="24"/>
          <w:highlight w:val="none"/>
        </w:rPr>
        <w:t xml:space="preserve">表格中各项可进一步细分，栏数不够可自加。</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pStyle w:val="107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法定代表人或授权代表（签字或盖章）：</w:t>
      </w:r>
      <w:r/>
    </w:p>
    <w:p>
      <w:pPr>
        <w:pStyle w:val="1078"/>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spacing w:line="400" w:lineRule="exact"/>
        <w:rPr>
          <w:rFonts w:ascii="宋体" w:hAnsi="宋体" w:cs="宋体"/>
          <w:bCs/>
          <w:color w:val="auto"/>
          <w:sz w:val="24"/>
          <w:highlight w:val="none"/>
        </w:rPr>
        <w:outlineLvl w:val="0"/>
      </w:pPr>
      <w:r>
        <w:rPr>
          <w:rFonts w:ascii="宋体" w:hAnsi="宋体" w:cs="宋体"/>
          <w:bCs/>
          <w:color w:val="auto"/>
          <w:sz w:val="24"/>
          <w:highlight w:val="none"/>
        </w:rPr>
      </w:r>
      <w:r/>
    </w:p>
    <w:p>
      <w:pPr>
        <w:ind w:firstLine="2891"/>
        <w:jc w:val="left"/>
        <w:spacing w:line="480" w:lineRule="auto"/>
        <w:rPr>
          <w:rFonts w:ascii="宋体" w:hAnsi="宋体" w:cs="宋体"/>
          <w:b/>
          <w:bCs/>
          <w:color w:val="auto"/>
          <w:sz w:val="32"/>
          <w:szCs w:val="32"/>
          <w:highlight w:val="none"/>
        </w:rPr>
      </w:pPr>
      <w:r/>
      <w:bookmarkStart w:id="179" w:name="_Toc54901543"/>
      <w:r/>
      <w:bookmarkStart w:id="180" w:name="_Toc54901424"/>
      <w:r/>
      <w:bookmarkStart w:id="181" w:name="_Toc16718"/>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五</w:t>
      </w:r>
      <w:r>
        <w:rPr>
          <w:rFonts w:hint="eastAsia" w:ascii="宋体" w:hAnsi="宋体" w:cs="宋体"/>
          <w:b/>
          <w:bCs/>
          <w:color w:val="auto"/>
          <w:sz w:val="32"/>
          <w:szCs w:val="32"/>
          <w:highlight w:val="none"/>
        </w:rPr>
        <w:t xml:space="preserve">、服务响应及偏离表</w:t>
      </w:r>
      <w:r/>
    </w:p>
    <w:p>
      <w:pPr>
        <w:pStyle w:val="857"/>
        <w:ind w:left="0" w:firstLine="0"/>
        <w:spacing w:line="360" w:lineRule="auto"/>
        <w:rPr>
          <w:rFonts w:hAnsi="宋体"/>
          <w:color w:val="auto"/>
          <w:sz w:val="24"/>
          <w:szCs w:val="24"/>
          <w:highlight w:val="none"/>
        </w:rPr>
      </w:pPr>
      <w:r>
        <w:rPr>
          <w:rFonts w:hint="eastAsia" w:ascii="宋体" w:hAnsi="宋体"/>
          <w:color w:val="auto"/>
          <w:sz w:val="24"/>
          <w:szCs w:val="24"/>
          <w:highlight w:val="none"/>
        </w:rPr>
        <w:t xml:space="preserve">项目名称：</w:t>
      </w:r>
      <w:r>
        <w:rPr>
          <w:rFonts w:hint="eastAsia" w:hAnsi="宋体"/>
          <w:color w:val="auto"/>
          <w:sz w:val="24"/>
          <w:szCs w:val="24"/>
          <w:highlight w:val="none"/>
        </w:rPr>
        <w:t xml:space="preserve">  </w:t>
      </w:r>
      <w:r/>
    </w:p>
    <w:p>
      <w:pPr>
        <w:spacing w:line="360" w:lineRule="auto"/>
        <w:rPr>
          <w:rFonts w:ascii="宋体" w:hAnsi="宋体"/>
          <w:b/>
          <w:color w:val="auto"/>
          <w:sz w:val="32"/>
          <w:szCs w:val="32"/>
          <w:highlight w:val="none"/>
        </w:rPr>
      </w:pPr>
      <w:r>
        <w:rPr>
          <w:rFonts w:hint="eastAsia" w:ascii="宋体" w:hAnsi="宋体"/>
          <w:color w:val="auto"/>
          <w:sz w:val="24"/>
          <w:szCs w:val="24"/>
          <w:highlight w:val="none"/>
        </w:rPr>
        <w:t xml:space="preserve">项目编号：</w:t>
      </w:r>
      <w:r/>
    </w:p>
    <w:tbl>
      <w:tblPr>
        <w:tblStyle w:val="846"/>
        <w:tblW w:w="9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2115"/>
        <w:gridCol w:w="2580"/>
        <w:gridCol w:w="2085"/>
        <w:gridCol w:w="1613"/>
      </w:tblGrid>
      <w:tr>
        <w:trPr>
          <w:jc w:val="center"/>
          <w:trHeight w:val="515"/>
        </w:trPr>
        <w:tc>
          <w:tcPr>
            <w:tcW w:w="1110" w:type="dxa"/>
            <w:vAlign w:val="center"/>
            <w:textDirection w:val="lrTb"/>
            <w:noWrap w:val="false"/>
          </w:tcPr>
          <w:p>
            <w:pPr>
              <w:spacing w:line="360" w:lineRule="auto"/>
              <w:rPr>
                <w:rFonts w:ascii="宋体" w:hAnsi="宋体"/>
                <w:color w:val="auto"/>
                <w:sz w:val="32"/>
                <w:szCs w:val="32"/>
                <w:highlight w:val="none"/>
              </w:rPr>
            </w:pPr>
            <w:r>
              <w:rPr>
                <w:rFonts w:hint="eastAsia" w:ascii="宋体" w:hAnsi="宋体" w:cs="宋体"/>
                <w:color w:val="auto"/>
                <w:sz w:val="24"/>
                <w:szCs w:val="24"/>
                <w:highlight w:val="none"/>
              </w:rPr>
              <w:t xml:space="preserve">序 号</w:t>
            </w:r>
            <w:r/>
          </w:p>
        </w:tc>
        <w:tc>
          <w:tcPr>
            <w:tcW w:w="211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p>
        </w:tc>
        <w:tc>
          <w:tcPr>
            <w:tcW w:w="258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采购文件中的要求</w:t>
            </w:r>
            <w:r/>
          </w:p>
        </w:tc>
        <w:tc>
          <w:tcPr>
            <w:tcW w:w="2085" w:type="dxa"/>
            <w:vAlign w:val="center"/>
            <w:textDirection w:val="lrTb"/>
            <w:noWrap w:val="false"/>
          </w:tcPr>
          <w:p>
            <w:pPr>
              <w:ind w:firstLine="480"/>
              <w:spacing w:line="360" w:lineRule="auto"/>
              <w:rPr>
                <w:rFonts w:ascii="宋体" w:hAnsi="宋体"/>
                <w:color w:val="auto"/>
                <w:sz w:val="32"/>
                <w:szCs w:val="32"/>
                <w:highlight w:val="none"/>
              </w:rPr>
            </w:pPr>
            <w:r>
              <w:rPr>
                <w:rFonts w:hint="eastAsia" w:ascii="宋体" w:hAnsi="宋体" w:cs="宋体"/>
                <w:color w:val="auto"/>
                <w:sz w:val="24"/>
                <w:szCs w:val="24"/>
                <w:highlight w:val="none"/>
              </w:rPr>
              <w:t xml:space="preserve">是否响应</w:t>
            </w:r>
            <w:r/>
          </w:p>
        </w:tc>
        <w:tc>
          <w:tcPr>
            <w:tcW w:w="1613" w:type="dxa"/>
            <w:vAlign w:val="center"/>
            <w:textDirection w:val="lrTb"/>
            <w:noWrap w:val="false"/>
          </w:tcPr>
          <w:p>
            <w:pPr>
              <w:ind w:firstLine="240"/>
              <w:spacing w:line="360" w:lineRule="auto"/>
              <w:rPr>
                <w:rFonts w:ascii="宋体" w:hAnsi="宋体"/>
                <w:color w:val="auto"/>
                <w:sz w:val="32"/>
                <w:szCs w:val="32"/>
                <w:highlight w:val="none"/>
              </w:rPr>
            </w:pPr>
            <w:r>
              <w:rPr>
                <w:rFonts w:hint="eastAsia" w:ascii="宋体" w:hAnsi="宋体" w:cs="宋体"/>
                <w:color w:val="auto"/>
                <w:sz w:val="24"/>
                <w:szCs w:val="24"/>
                <w:highlight w:val="none"/>
              </w:rPr>
              <w:t xml:space="preserve">偏离说明</w:t>
            </w:r>
            <w:r/>
          </w:p>
        </w:tc>
      </w:tr>
      <w:tr>
        <w:trPr>
          <w:jc w:val="center"/>
          <w:trHeight w:val="599"/>
        </w:trPr>
        <w:tc>
          <w:tcPr>
            <w:tcW w:w="111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115" w:type="dxa"/>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58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085"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1613"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r>
      <w:tr>
        <w:trPr>
          <w:jc w:val="center"/>
          <w:trHeight w:val="599"/>
        </w:trPr>
        <w:tc>
          <w:tcPr>
            <w:tcW w:w="111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115" w:type="dxa"/>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58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085"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1613"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r>
      <w:tr>
        <w:trPr>
          <w:jc w:val="center"/>
          <w:trHeight w:val="599"/>
        </w:trPr>
        <w:tc>
          <w:tcPr>
            <w:tcW w:w="111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115" w:type="dxa"/>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58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085"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1613"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r>
      <w:tr>
        <w:trPr>
          <w:jc w:val="center"/>
          <w:trHeight w:val="599"/>
        </w:trPr>
        <w:tc>
          <w:tcPr>
            <w:tcW w:w="111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115" w:type="dxa"/>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58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085"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1613"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r>
      <w:tr>
        <w:trPr>
          <w:jc w:val="center"/>
          <w:trHeight w:val="599"/>
        </w:trPr>
        <w:tc>
          <w:tcPr>
            <w:tcW w:w="111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115" w:type="dxa"/>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58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085"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1613"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r>
      <w:tr>
        <w:trPr>
          <w:jc w:val="center"/>
          <w:trHeight w:val="599"/>
        </w:trPr>
        <w:tc>
          <w:tcPr>
            <w:tcW w:w="111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115" w:type="dxa"/>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58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085"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1613"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r>
      <w:tr>
        <w:trPr>
          <w:jc w:val="center"/>
          <w:trHeight w:val="599"/>
        </w:trPr>
        <w:tc>
          <w:tcPr>
            <w:tcW w:w="111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115" w:type="dxa"/>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58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085"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1613"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r>
      <w:tr>
        <w:trPr>
          <w:jc w:val="center"/>
          <w:trHeight w:val="599"/>
        </w:trPr>
        <w:tc>
          <w:tcPr>
            <w:tcW w:w="111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115" w:type="dxa"/>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580"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2085"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c>
          <w:tcPr>
            <w:tcW w:w="1613" w:type="dxa"/>
            <w:vAlign w:val="center"/>
            <w:textDirection w:val="lrTb"/>
            <w:noWrap w:val="false"/>
          </w:tcPr>
          <w:p>
            <w:pPr>
              <w:ind w:firstLine="640"/>
              <w:jc w:val="center"/>
              <w:spacing w:line="360" w:lineRule="auto"/>
              <w:tabs>
                <w:tab w:val="left" w:pos="6300" w:leader="none"/>
              </w:tabs>
              <w:rPr>
                <w:rFonts w:ascii="宋体" w:hAnsi="宋体"/>
                <w:color w:val="auto"/>
                <w:sz w:val="32"/>
                <w:szCs w:val="32"/>
                <w:highlight w:val="none"/>
              </w:rPr>
              <w:outlineLvl w:val="1"/>
            </w:pPr>
            <w:r>
              <w:rPr>
                <w:rFonts w:ascii="宋体" w:hAnsi="宋体"/>
                <w:color w:val="auto"/>
                <w:sz w:val="32"/>
                <w:szCs w:val="32"/>
                <w:highlight w:val="none"/>
              </w:rPr>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spacing w:line="360" w:lineRule="auto"/>
        <w:tabs>
          <w:tab w:val="left" w:pos="6300" w:leader="none"/>
        </w:tabs>
        <w:rPr>
          <w:rFonts w:ascii="宋体" w:hAnsi="宋体" w:cs="宋体"/>
          <w:color w:val="auto"/>
          <w:sz w:val="24"/>
          <w:highlight w:val="none"/>
        </w:rPr>
      </w:pPr>
      <w:r>
        <w:rPr>
          <w:rFonts w:hint="eastAsia" w:ascii="宋体" w:hAnsi="宋体" w:cs="宋体"/>
          <w:color w:val="auto"/>
          <w:sz w:val="24"/>
          <w:highlight w:val="none"/>
        </w:rPr>
        <w:t xml:space="preserve">1、请各位供应商按照上面的表格形式按实际提供的服务，逐项应答第三章项目需求中的各项条款。根据响应情况在“偏离说明”项填写正偏离或负偏离及原因，完全符合的填写“无偏离”。</w:t>
      </w:r>
      <w:r/>
    </w:p>
    <w:p>
      <w:pPr>
        <w:ind w:firstLine="480"/>
        <w:spacing w:line="360" w:lineRule="auto"/>
        <w:tabs>
          <w:tab w:val="left" w:pos="6300" w:leader="none"/>
        </w:tabs>
        <w:rPr>
          <w:rFonts w:ascii="宋体" w:hAnsi="宋体" w:cs="宋体"/>
          <w:color w:val="auto"/>
          <w:sz w:val="24"/>
          <w:highlight w:val="none"/>
        </w:rPr>
      </w:pPr>
      <w:r>
        <w:rPr>
          <w:rFonts w:hint="eastAsia" w:ascii="宋体" w:hAnsi="宋体" w:cs="宋体"/>
          <w:color w:val="auto"/>
          <w:sz w:val="24"/>
          <w:highlight w:val="none"/>
        </w:rPr>
        <w:t xml:space="preserve">2、未在上表中说明的，如在响应文件其他内容中已有文字说明的，则以已有文字说明为准，否则，将被认为完全响应采购文件的规定。</w:t>
      </w:r>
      <w:r/>
    </w:p>
    <w:p>
      <w:pPr>
        <w:ind w:firstLine="480"/>
        <w:spacing w:line="360" w:lineRule="auto"/>
        <w:tabs>
          <w:tab w:val="left" w:pos="6300" w:leader="none"/>
        </w:tabs>
        <w:rPr>
          <w:rFonts w:ascii="宋体" w:hAnsi="宋体" w:cs="宋体"/>
          <w:color w:val="auto"/>
          <w:sz w:val="24"/>
          <w:highlight w:val="none"/>
        </w:rPr>
      </w:pPr>
      <w:r>
        <w:rPr>
          <w:rFonts w:hint="eastAsia" w:ascii="宋体" w:hAnsi="宋体" w:cs="宋体"/>
          <w:color w:val="auto"/>
          <w:sz w:val="24"/>
          <w:highlight w:val="none"/>
        </w:rPr>
        <w:t xml:space="preserve">3、该表可扩展，并逐页签字或盖章。</w:t>
      </w:r>
      <w:r/>
    </w:p>
    <w:p>
      <w:pPr>
        <w:ind w:firstLine="480"/>
        <w:spacing w:line="360" w:lineRule="auto"/>
        <w:tabs>
          <w:tab w:val="left" w:pos="6300" w:leader="none"/>
        </w:tabs>
        <w:rPr>
          <w:rFonts w:ascii="宋体" w:hAnsi="宋体" w:cs="宋体"/>
          <w:color w:val="auto"/>
          <w:sz w:val="24"/>
          <w:highlight w:val="none"/>
        </w:rPr>
      </w:pPr>
      <w:r>
        <w:rPr>
          <w:rFonts w:hint="eastAsia" w:ascii="宋体" w:hAnsi="宋体" w:cs="宋体"/>
          <w:color w:val="auto"/>
          <w:sz w:val="24"/>
          <w:highlight w:val="none"/>
        </w:rPr>
        <w:t xml:space="preserve">4、可附相关技术支撑材料（格式自定）。</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法定代表人或授权代表（签字或盖章）： </w:t>
      </w:r>
      <w:r/>
    </w:p>
    <w:p>
      <w:pPr>
        <w:pStyle w:val="1124"/>
        <w:ind w:left="0" w:firstLine="480"/>
        <w:spacing w:after="120" w:line="360" w:lineRule="auto"/>
        <w:rPr>
          <w:rFonts w:ascii="宋体" w:hAnsi="宋体" w:cs="宋体"/>
          <w:bCs/>
          <w:color w:val="auto"/>
          <w:sz w:val="24"/>
          <w:szCs w:val="24"/>
          <w:highlight w:val="none"/>
        </w:rPr>
      </w:pPr>
      <w:r>
        <w:rPr>
          <w:rFonts w:hint="eastAsia" w:ascii="宋体" w:hAnsi="宋体" w:cs="宋体"/>
          <w:b w:val="0"/>
          <w:bCs/>
          <w:color w:val="auto"/>
          <w:sz w:val="24"/>
          <w:szCs w:val="24"/>
          <w:highlight w:val="none"/>
        </w:rPr>
        <w:t xml:space="preserve">日期：  　年　月　日</w:t>
      </w:r>
      <w:r/>
    </w:p>
    <w:p>
      <w:pPr>
        <w:pStyle w:val="857"/>
        <w:ind w:left="0" w:firstLine="2249"/>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857"/>
        <w:ind w:left="0" w:firstLine="2249"/>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、商务条款响应及偏离表</w:t>
      </w:r>
      <w:r/>
    </w:p>
    <w:p>
      <w:pPr>
        <w:pStyle w:val="857"/>
        <w:ind w:left="0" w:firstLine="0"/>
        <w:spacing w:line="360" w:lineRule="auto"/>
        <w:rPr>
          <w:rFonts w:hAnsi="宋体"/>
          <w:color w:val="auto"/>
          <w:sz w:val="24"/>
          <w:szCs w:val="24"/>
          <w:highlight w:val="none"/>
        </w:rPr>
      </w:pPr>
      <w:r>
        <w:rPr>
          <w:rFonts w:hint="eastAsia" w:ascii="宋体" w:hAnsi="宋体"/>
          <w:color w:val="auto"/>
          <w:sz w:val="24"/>
          <w:szCs w:val="24"/>
          <w:highlight w:val="none"/>
        </w:rPr>
        <w:t xml:space="preserve">项目名称：</w:t>
      </w:r>
      <w:r>
        <w:rPr>
          <w:rFonts w:hint="eastAsia" w:hAnsi="宋体"/>
          <w:color w:val="auto"/>
          <w:sz w:val="24"/>
          <w:szCs w:val="24"/>
          <w:highlight w:val="none"/>
        </w:rPr>
        <w:t xml:space="preserve">  </w:t>
      </w:r>
      <w:r/>
    </w:p>
    <w:p>
      <w:pPr>
        <w:rPr>
          <w:color w:val="auto"/>
          <w:sz w:val="24"/>
          <w:szCs w:val="24"/>
          <w:highlight w:val="none"/>
        </w:rPr>
      </w:pPr>
      <w:r>
        <w:rPr>
          <w:rFonts w:hint="eastAsia" w:ascii="宋体" w:hAnsi="宋体"/>
          <w:color w:val="auto"/>
          <w:sz w:val="24"/>
          <w:szCs w:val="24"/>
          <w:highlight w:val="none"/>
        </w:rPr>
        <w:t xml:space="preserve">项目编号：</w:t>
      </w:r>
      <w:r/>
    </w:p>
    <w:tbl>
      <w:tblPr>
        <w:tblStyle w:val="846"/>
        <w:tblW w:w="9682" w:type="dxa"/>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80"/>
        <w:gridCol w:w="2548"/>
        <w:gridCol w:w="2268"/>
        <w:gridCol w:w="1559"/>
        <w:gridCol w:w="2127"/>
      </w:tblGrid>
      <w:tr>
        <w:trPr>
          <w:trHeight w:val="643"/>
        </w:trPr>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序 号</w:t>
            </w:r>
            <w:r/>
          </w:p>
        </w:tc>
        <w:tc>
          <w:tcPr>
            <w:tcBorders>
              <w:top w:val="single" w:color="auto" w:sz="4" w:space="0"/>
              <w:left w:val="single" w:color="auto" w:sz="4" w:space="0"/>
              <w:bottom w:val="single" w:color="auto" w:sz="4" w:space="0"/>
              <w:right w:val="single" w:color="auto" w:sz="4" w:space="0"/>
            </w:tcBorders>
            <w:tcW w:w="2548"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名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采购文件中的要求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偏离说明</w:t>
            </w:r>
            <w:r/>
          </w:p>
        </w:tc>
      </w:tr>
      <w:tr>
        <w:trPr>
          <w:trHeight w:val="447"/>
        </w:trPr>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48" w:type="dxa"/>
            <w:vAlign w:val="center"/>
            <w:textDirection w:val="lrTb"/>
            <w:noWrap w:val="false"/>
          </w:tcPr>
          <w:p>
            <w:pPr>
              <w:ind w:firstLine="240"/>
              <w:spacing w:before="120"/>
              <w:rPr>
                <w:rFonts w:ascii="宋体" w:hAnsi="宋体" w:cs="宋体"/>
                <w:color w:val="auto"/>
                <w:sz w:val="24"/>
                <w:szCs w:val="24"/>
                <w:highlight w:val="none"/>
              </w:rPr>
            </w:pPr>
            <w:r>
              <w:rPr>
                <w:rFonts w:hint="eastAsia" w:ascii="宋体" w:hAnsi="宋体"/>
                <w:color w:val="auto"/>
                <w:sz w:val="24"/>
                <w:szCs w:val="24"/>
                <w:highlight w:val="none"/>
              </w:rPr>
              <w:t xml:space="preserve">供应商资格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48" w:type="dxa"/>
            <w:vAlign w:val="center"/>
            <w:textDirection w:val="lrTb"/>
            <w:noWrap w:val="false"/>
          </w:tcPr>
          <w:p>
            <w:pPr>
              <w:ind w:firstLine="240"/>
              <w:spacing w:before="120"/>
              <w:rPr>
                <w:rFonts w:ascii="宋体" w:hAnsi="宋体" w:cs="宋体"/>
                <w:color w:val="auto"/>
                <w:sz w:val="24"/>
                <w:szCs w:val="24"/>
                <w:highlight w:val="none"/>
              </w:rPr>
            </w:pPr>
            <w:r>
              <w:rPr>
                <w:rFonts w:hint="eastAsia" w:ascii="宋体" w:hAnsi="宋体"/>
                <w:color w:val="auto"/>
                <w:sz w:val="24"/>
                <w:szCs w:val="24"/>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548" w:type="dxa"/>
            <w:vAlign w:val="center"/>
            <w:textDirection w:val="lrTb"/>
            <w:noWrap w:val="false"/>
          </w:tcPr>
          <w:p>
            <w:pPr>
              <w:ind w:firstLine="240"/>
              <w:spacing w:before="120"/>
              <w:rPr>
                <w:rFonts w:ascii="宋体" w:hAnsi="宋体"/>
                <w:color w:val="auto"/>
                <w:sz w:val="24"/>
                <w:szCs w:val="24"/>
                <w:highlight w:val="none"/>
              </w:rPr>
            </w:pPr>
            <w:r>
              <w:rPr>
                <w:rFonts w:hint="eastAsia" w:ascii="宋体" w:hAnsi="宋体" w:cs="宋体"/>
                <w:color w:val="auto"/>
                <w:sz w:val="24"/>
                <w:szCs w:val="24"/>
                <w:highlight w:val="none"/>
              </w:rPr>
              <w:t xml:space="preserve">磋商有效期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548" w:type="dxa"/>
            <w:vAlign w:val="center"/>
            <w:textDirection w:val="lrTb"/>
            <w:noWrap w:val="false"/>
          </w:tcPr>
          <w:p>
            <w:pPr>
              <w:ind w:firstLine="240"/>
              <w:spacing w:before="120"/>
              <w:rPr>
                <w:rFonts w:ascii="宋体" w:hAnsi="宋体" w:cs="宋体"/>
                <w:color w:val="auto"/>
                <w:sz w:val="24"/>
                <w:szCs w:val="24"/>
                <w:highlight w:val="none"/>
              </w:rPr>
            </w:pPr>
            <w:r>
              <w:rPr>
                <w:rFonts w:hint="eastAsia" w:ascii="宋体" w:hAnsi="宋体"/>
                <w:color w:val="auto"/>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548" w:type="dxa"/>
            <w:vAlign w:val="center"/>
            <w:textDirection w:val="lrTb"/>
            <w:noWrap w:val="false"/>
          </w:tcPr>
          <w:p>
            <w:pPr>
              <w:ind w:firstLine="240"/>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1"/>
        </w:trPr>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548" w:type="dxa"/>
            <w:vAlign w:val="center"/>
            <w:textDirection w:val="lrTb"/>
            <w:noWrap w:val="false"/>
          </w:tcPr>
          <w:p>
            <w:pPr>
              <w:ind w:firstLine="240"/>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240"/>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按磋商文件要求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0"/>
        <w:spacing w:line="360" w:lineRule="auto"/>
        <w:tabs>
          <w:tab w:val="left" w:pos="6300" w:leader="none"/>
        </w:tabs>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、该表必须按照竞争性磋商要求逐条如实填写，根据响应情况在“偏离说明”项填写正偏离或负偏离及原因，完全符合的填写“无偏离”；</w:t>
      </w:r>
      <w:r/>
    </w:p>
    <w:p>
      <w:pPr>
        <w:ind w:firstLine="480"/>
        <w:spacing w:line="360" w:lineRule="auto"/>
        <w:tabs>
          <w:tab w:val="left" w:pos="6300" w:leader="none"/>
        </w:tabs>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、该表可扩展，并逐页签字或盖章；</w:t>
      </w:r>
      <w:r/>
    </w:p>
    <w:p>
      <w:pPr>
        <w:ind w:firstLine="480"/>
        <w:spacing w:line="360" w:lineRule="auto"/>
        <w:tabs>
          <w:tab w:val="left" w:pos="6300" w:leader="none"/>
        </w:tabs>
        <w:rPr>
          <w:rFonts w:ascii="宋体" w:hAnsi="宋体"/>
          <w:color w:val="auto"/>
          <w:sz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、可附相关技术支撑材料。（格式自定）</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法定代表人或授权代表（签字或盖章）： </w:t>
      </w:r>
      <w:r/>
    </w:p>
    <w:p>
      <w:pPr>
        <w:pStyle w:val="1124"/>
        <w:ind w:left="0" w:firstLine="480"/>
        <w:spacing w:after="120"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37"/>
        <w:jc w:val="center"/>
        <w:rPr>
          <w:rFonts w:ascii="宋体" w:hAnsi="宋体" w:eastAsia="宋体" w:cs="宋体"/>
          <w:color w:val="auto"/>
          <w:sz w:val="24"/>
          <w:highlight w:val="none"/>
        </w:rPr>
      </w:pPr>
      <w:r>
        <w:rPr>
          <w:rFonts w:ascii="宋体" w:hAnsi="宋体" w:eastAsia="宋体" w:cs="宋体"/>
          <w:color w:val="auto"/>
          <w:sz w:val="24"/>
          <w:highlight w:val="none"/>
        </w:rPr>
      </w:r>
      <w:r/>
    </w:p>
    <w:p>
      <w:pPr>
        <w:pStyle w:val="837"/>
        <w:jc w:val="cente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837"/>
        <w:jc w:val="cente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bookmarkEnd w:id="179"/>
      <w:r/>
      <w:bookmarkEnd w:id="180"/>
      <w:r/>
      <w:bookmarkEnd w:id="181"/>
      <w:r/>
      <w:r/>
    </w:p>
    <w:p>
      <w:pPr>
        <w:ind w:firstLine="321"/>
        <w:spacing w:line="360" w:lineRule="auto"/>
        <w:tabs>
          <w:tab w:val="left" w:pos="900" w:leader="none"/>
        </w:tabs>
        <w:rPr>
          <w:rFonts w:ascii="宋体" w:hAnsi="宋体" w:cs="宋体"/>
          <w:b/>
          <w:bCs/>
          <w:color w:val="auto"/>
          <w:sz w:val="32"/>
          <w:szCs w:val="32"/>
          <w:highlight w:val="none"/>
        </w:rPr>
      </w:pPr>
      <w:r/>
      <w:bookmarkStart w:id="182" w:name="_Toc342296589"/>
      <w:r/>
      <w:bookmarkStart w:id="183" w:name="_Toc54901425"/>
      <w:r/>
      <w:bookmarkStart w:id="184" w:name="_Toc54901544"/>
      <w:r/>
      <w:bookmarkStart w:id="185" w:name="_Toc15991"/>
      <w:r/>
      <w:bookmarkStart w:id="186" w:name="_Toc362253056"/>
      <w:r/>
      <w:r/>
    </w:p>
    <w:p>
      <w:pPr>
        <w:ind w:firstLine="321"/>
        <w:spacing w:line="360" w:lineRule="auto"/>
        <w:tabs>
          <w:tab w:val="left" w:pos="90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249"/>
        <w:spacing w:line="360" w:lineRule="auto"/>
        <w:tabs>
          <w:tab w:val="left" w:pos="900" w:leader="none"/>
        </w:tabs>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、拟投入本项目的主要人员表</w:t>
      </w:r>
      <w:bookmarkEnd w:id="182"/>
      <w:r/>
      <w:bookmarkEnd w:id="183"/>
      <w:r/>
      <w:bookmarkEnd w:id="184"/>
      <w:r/>
      <w:bookmarkEnd w:id="185"/>
      <w:r/>
      <w:bookmarkEnd w:id="186"/>
      <w:r/>
      <w:r/>
    </w:p>
    <w:p>
      <w:pPr>
        <w:pStyle w:val="857"/>
        <w:ind w:left="0" w:firstLine="0"/>
        <w:spacing w:line="360" w:lineRule="auto"/>
        <w:rPr>
          <w:rFonts w:hAnsi="宋体"/>
          <w:color w:val="auto"/>
          <w:sz w:val="24"/>
          <w:szCs w:val="24"/>
          <w:highlight w:val="none"/>
        </w:rPr>
      </w:pPr>
      <w:r>
        <w:rPr>
          <w:rFonts w:hint="eastAsia" w:ascii="宋体" w:hAnsi="宋体"/>
          <w:color w:val="auto"/>
          <w:sz w:val="24"/>
          <w:szCs w:val="24"/>
          <w:highlight w:val="none"/>
        </w:rPr>
        <w:t xml:space="preserve">项目名称：</w:t>
      </w:r>
      <w:r>
        <w:rPr>
          <w:rFonts w:hint="eastAsia" w:hAnsi="宋体"/>
          <w:color w:val="auto"/>
          <w:sz w:val="24"/>
          <w:szCs w:val="24"/>
          <w:highlight w:val="none"/>
        </w:rPr>
        <w:t xml:space="preserve">  </w:t>
      </w:r>
      <w:r/>
    </w:p>
    <w:p>
      <w:pPr>
        <w:pStyle w:val="851"/>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tbl>
      <w:tblPr>
        <w:tblStyle w:val="846"/>
        <w:tblW w:w="9096" w:type="dxa"/>
        <w:tblInd w:w="0" w:type="dxa"/>
        <w:tblLayout w:type="fixed"/>
        <w:tblCellMar>
          <w:left w:w="108" w:type="dxa"/>
          <w:top w:w="0" w:type="dxa"/>
          <w:right w:w="108" w:type="dxa"/>
          <w:bottom w:w="0" w:type="dxa"/>
        </w:tblCellMar>
        <w:tblLook w:val="04A0" w:firstRow="1" w:lastRow="0" w:firstColumn="1" w:lastColumn="0" w:noHBand="0" w:noVBand="1"/>
      </w:tblPr>
      <w:tblGrid>
        <w:gridCol w:w="1276"/>
        <w:gridCol w:w="1134"/>
        <w:gridCol w:w="1016"/>
        <w:gridCol w:w="992"/>
        <w:gridCol w:w="1134"/>
        <w:gridCol w:w="1276"/>
        <w:gridCol w:w="2268"/>
      </w:tblGrid>
      <w:tr>
        <w:trPr>
          <w:trHeight w:val="1066"/>
        </w:trPr>
        <w:tc>
          <w:tcPr>
            <w:tcBorders>
              <w:top w:val="single" w:color="auto" w:sz="8" w:space="0"/>
              <w:left w:val="single" w:color="auto" w:sz="8" w:space="0"/>
              <w:bottom w:val="single" w:color="000000"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Borders>
              <w:top w:val="single" w:color="auto" w:sz="8" w:space="0"/>
              <w:left w:val="single" w:color="auto" w:sz="8" w:space="0"/>
              <w:bottom w:val="single" w:color="000000"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Borders>
              <w:top w:val="single" w:color="auto" w:sz="8" w:space="0"/>
              <w:left w:val="single" w:color="auto" w:sz="8" w:space="0"/>
              <w:bottom w:val="single" w:color="000000"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Borders>
              <w:top w:val="single" w:color="auto" w:sz="8" w:space="0"/>
              <w:left w:val="single" w:color="auto" w:sz="8" w:space="0"/>
              <w:bottom w:val="single" w:color="000000"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Borders>
              <w:top w:val="single" w:color="auto" w:sz="8" w:space="0"/>
              <w:left w:val="single" w:color="auto" w:sz="8" w:space="0"/>
              <w:bottom w:val="single" w:color="000000"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tcBorders>
              <w:top w:val="single" w:color="auto" w:sz="8" w:space="0"/>
              <w:left w:val="single" w:color="auto" w:sz="8" w:space="0"/>
              <w:bottom w:val="single" w:color="000000"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资格证书</w:t>
            </w:r>
            <w:r/>
          </w:p>
        </w:tc>
        <w:tc>
          <w:tcPr>
            <w:tcBorders>
              <w:top w:val="single" w:color="auto" w:sz="8" w:space="0"/>
              <w:left w:val="single" w:color="auto" w:sz="8" w:space="0"/>
              <w:bottom w:val="single" w:color="auto" w:sz="4" w:space="0"/>
              <w:right w:val="single" w:color="auto" w:sz="8" w:space="0"/>
            </w:tcBorders>
            <w:tcW w:w="2268"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在本项目中的分工</w:t>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90"/>
        </w:trPr>
        <w:tc>
          <w:tcPr>
            <w:tcBorders>
              <w:top w:val="none" w:color="000000" w:sz="4" w:space="0"/>
              <w:left w:val="single" w:color="auto"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01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99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auto" w:sz="8" w:space="0"/>
              <w:right w:val="single" w:color="auto" w:sz="8" w:space="0"/>
            </w:tcBorders>
            <w:tcW w:w="2268" w:type="dxa"/>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pStyle w:val="1078"/>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法定代表人或授权代表（签字或盖章）：</w:t>
      </w:r>
      <w:r/>
    </w:p>
    <w:p>
      <w:pPr>
        <w:pStyle w:val="1078"/>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after="160" w:line="520" w:lineRule="exact"/>
        <w:widowControl/>
        <w:rPr>
          <w:rFonts w:ascii="宋体" w:hAnsi="宋体" w:cs="宋体"/>
          <w:b/>
          <w:bCs/>
          <w:color w:val="auto"/>
          <w:sz w:val="24"/>
          <w:highlight w:val="none"/>
        </w:rPr>
      </w:pPr>
      <w:r>
        <w:rPr>
          <w:rFonts w:ascii="宋体" w:hAnsi="宋体" w:cs="宋体"/>
          <w:b/>
          <w:bCs/>
          <w:color w:val="auto"/>
          <w:sz w:val="24"/>
          <w:highlight w:val="none"/>
        </w:rPr>
      </w:r>
      <w:r/>
    </w:p>
    <w:p>
      <w:pPr>
        <w:pStyle w:val="1078"/>
        <w:spacing w:line="360" w:lineRule="auto"/>
        <w:rPr>
          <w:rFonts w:ascii="宋体" w:hAnsi="宋体"/>
          <w:bCs/>
          <w:color w:val="auto"/>
          <w:sz w:val="24"/>
          <w:szCs w:val="24"/>
          <w:highlight w:val="none"/>
        </w:rPr>
      </w:pPr>
      <w:r>
        <w:rPr>
          <w:rFonts w:ascii="宋体" w:hAnsi="宋体"/>
          <w:bCs/>
          <w:color w:val="auto"/>
          <w:sz w:val="24"/>
          <w:szCs w:val="24"/>
          <w:highlight w:val="none"/>
        </w:rPr>
      </w:r>
      <w:r/>
    </w:p>
    <w:p>
      <w:pPr>
        <w:pStyle w:val="857"/>
        <w:ind w:left="5250"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857"/>
        <w:ind w:left="5250" w:firstLine="240"/>
        <w:spacing w:line="360" w:lineRule="auto"/>
        <w:rPr>
          <w:rFonts w:ascii="宋体" w:hAnsi="宋体" w:cs="宋体"/>
          <w:color w:val="auto"/>
          <w:sz w:val="24"/>
          <w:highlight w:val="none"/>
        </w:rPr>
      </w:pPr>
      <w:r>
        <w:rPr>
          <w:rFonts w:ascii="宋体" w:hAnsi="宋体" w:cs="宋体"/>
          <w:color w:val="auto"/>
          <w:sz w:val="24"/>
          <w:highlight w:val="none"/>
        </w:rPr>
      </w:r>
      <w:r/>
    </w:p>
    <w:p>
      <w:pPr>
        <w:pStyle w:val="857"/>
        <w:ind w:left="5250" w:firstLine="240"/>
        <w:spacing w:line="360" w:lineRule="auto"/>
        <w:rPr>
          <w:rFonts w:ascii="宋体" w:hAnsi="宋体" w:cs="宋体"/>
          <w:color w:val="auto"/>
          <w:sz w:val="24"/>
          <w:highlight w:val="none"/>
        </w:rPr>
      </w:pPr>
      <w:r>
        <w:rPr>
          <w:rFonts w:ascii="宋体" w:hAnsi="宋体" w:cs="宋体"/>
          <w:color w:val="auto"/>
          <w:sz w:val="24"/>
          <w:highlight w:val="none"/>
        </w:rPr>
      </w:r>
      <w:r/>
    </w:p>
    <w:p>
      <w:pPr>
        <w:pStyle w:val="857"/>
        <w:ind w:left="5250" w:firstLine="240"/>
        <w:spacing w:line="360" w:lineRule="auto"/>
        <w:rPr>
          <w:rFonts w:ascii="宋体" w:hAnsi="宋体" w:cs="宋体"/>
          <w:color w:val="auto"/>
          <w:sz w:val="24"/>
          <w:highlight w:val="none"/>
        </w:rPr>
      </w:pPr>
      <w:r>
        <w:rPr>
          <w:rFonts w:ascii="宋体" w:hAnsi="宋体" w:cs="宋体"/>
          <w:color w:val="auto"/>
          <w:sz w:val="24"/>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857"/>
        <w:ind w:left="0" w:firstLine="257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八</w:t>
      </w:r>
      <w:r>
        <w:rPr>
          <w:rFonts w:hint="eastAsia" w:ascii="宋体" w:hAnsi="宋体" w:cs="宋体"/>
          <w:b/>
          <w:bCs/>
          <w:color w:val="auto"/>
          <w:sz w:val="32"/>
          <w:szCs w:val="32"/>
          <w:highlight w:val="none"/>
        </w:rPr>
        <w:t xml:space="preserve">、供应商基本情况表</w:t>
      </w:r>
      <w:r/>
    </w:p>
    <w:p>
      <w:pPr>
        <w:pStyle w:val="857"/>
        <w:ind w:left="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857"/>
        <w:ind w:left="0"/>
        <w:spacing w:line="360" w:lineRule="auto"/>
        <w:rPr>
          <w:rFonts w:hAnsi="宋体"/>
          <w:color w:val="auto"/>
          <w:sz w:val="24"/>
          <w:highlight w:val="none"/>
        </w:rPr>
      </w:pPr>
      <w:r>
        <w:rPr>
          <w:rFonts w:hint="eastAsia" w:ascii="宋体" w:hAnsi="宋体"/>
          <w:color w:val="auto"/>
          <w:sz w:val="24"/>
          <w:highlight w:val="none"/>
        </w:rPr>
        <w:t xml:space="preserve">项目名称：</w:t>
      </w:r>
      <w:r>
        <w:rPr>
          <w:rFonts w:hint="eastAsia" w:hAnsi="宋体"/>
          <w:color w:val="auto"/>
          <w:sz w:val="24"/>
          <w:highlight w:val="none"/>
        </w:rPr>
        <w:t xml:space="preserve">  </w:t>
      </w:r>
      <w:r/>
    </w:p>
    <w:p>
      <w:pPr>
        <w:pStyle w:val="85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tbl>
      <w:tblPr>
        <w:tblStyle w:val="84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20"/>
        <w:gridCol w:w="1369"/>
        <w:gridCol w:w="1432"/>
        <w:gridCol w:w="1353"/>
        <w:gridCol w:w="1620"/>
        <w:gridCol w:w="309"/>
        <w:gridCol w:w="1576"/>
      </w:tblGrid>
      <w:tr>
        <w:trPr>
          <w:jc w:val="center"/>
          <w:trHeight w:val="485"/>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供应商名称</w:t>
            </w:r>
            <w:r/>
          </w:p>
        </w:tc>
        <w:tc>
          <w:tcPr>
            <w:gridSpan w:val="6"/>
            <w:tcBorders>
              <w:top w:val="single" w:color="auto" w:sz="4" w:space="0"/>
              <w:left w:val="single" w:color="auto" w:sz="4" w:space="0"/>
              <w:bottom w:val="single" w:color="auto" w:sz="4" w:space="0"/>
              <w:right w:val="single" w:color="auto" w:sz="4" w:space="0"/>
            </w:tcBorders>
            <w:tcW w:w="7659" w:type="dxa"/>
            <w:vAlign w:val="center"/>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jc w:val="center"/>
          <w:trHeight w:val="1240"/>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授权代表人</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firstLine="480"/>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营业（经营）执照号码</w:t>
            </w:r>
            <w:r/>
          </w:p>
        </w:tc>
        <w:tc>
          <w:tcPr>
            <w:gridSpan w:val="2"/>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ind w:firstLine="480"/>
              <w:spacing w:line="360" w:lineRule="auto"/>
              <w:rPr>
                <w:rFonts w:ascii="宋体" w:hAnsi="宋体"/>
                <w:bCs/>
                <w:color w:val="auto"/>
                <w:sz w:val="24"/>
                <w:highlight w:val="none"/>
              </w:rPr>
            </w:pPr>
            <w:r>
              <w:rPr>
                <w:rFonts w:ascii="宋体" w:hAnsi="宋体"/>
                <w:bCs/>
                <w:color w:val="auto"/>
                <w:sz w:val="24"/>
                <w:highlight w:val="none"/>
              </w:rPr>
            </w:r>
            <w:r/>
          </w:p>
        </w:tc>
      </w:tr>
      <w:tr>
        <w:trPr>
          <w:jc w:val="center"/>
          <w:trHeight w:val="777"/>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职工人数</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注册时间</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ind w:firstLine="480"/>
              <w:jc w:val="center"/>
              <w:spacing w:line="360" w:lineRule="auto"/>
              <w:rPr>
                <w:rFonts w:ascii="宋体" w:hAnsi="宋体"/>
                <w:bCs/>
                <w:color w:val="auto"/>
                <w:sz w:val="24"/>
                <w:highlight w:val="none"/>
              </w:rPr>
            </w:pPr>
            <w:r>
              <w:rPr>
                <w:rFonts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注册资金</w:t>
            </w:r>
            <w:r/>
          </w:p>
        </w:tc>
        <w:tc>
          <w:tcPr>
            <w:gridSpan w:val="2"/>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万元</w:t>
            </w:r>
            <w:r/>
          </w:p>
        </w:tc>
      </w:tr>
      <w:tr>
        <w:trPr>
          <w:jc w:val="center"/>
          <w:trHeight w:val="588"/>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地   址</w:t>
            </w:r>
            <w:r/>
          </w:p>
        </w:tc>
        <w:tc>
          <w:tcPr>
            <w:gridSpan w:val="6"/>
            <w:tcBorders>
              <w:top w:val="single" w:color="auto" w:sz="4" w:space="0"/>
              <w:left w:val="single" w:color="auto" w:sz="4" w:space="0"/>
              <w:bottom w:val="single" w:color="auto" w:sz="4" w:space="0"/>
              <w:right w:val="single" w:color="auto" w:sz="4" w:space="0"/>
            </w:tcBorders>
            <w:tcW w:w="7659" w:type="dxa"/>
            <w:vAlign w:val="center"/>
            <w:textDirection w:val="lrTb"/>
            <w:noWrap w:val="false"/>
          </w:tcPr>
          <w:p>
            <w:pPr>
              <w:ind w:firstLine="480"/>
              <w:spacing w:line="360" w:lineRule="auto"/>
              <w:rPr>
                <w:rFonts w:ascii="宋体" w:hAnsi="宋体"/>
                <w:bCs/>
                <w:color w:val="auto"/>
                <w:sz w:val="24"/>
                <w:highlight w:val="none"/>
              </w:rPr>
            </w:pPr>
            <w:r>
              <w:rPr>
                <w:rFonts w:ascii="宋体" w:hAnsi="宋体"/>
                <w:bCs/>
                <w:color w:val="auto"/>
                <w:sz w:val="24"/>
                <w:highlight w:val="none"/>
              </w:rPr>
            </w:r>
            <w:r/>
          </w:p>
        </w:tc>
      </w:tr>
      <w:tr>
        <w:trPr>
          <w:jc w:val="center"/>
          <w:trHeight w:val="510"/>
        </w:trPr>
        <w:tc>
          <w:tcPr>
            <w:tcBorders>
              <w:top w:val="single" w:color="auto" w:sz="4" w:space="0"/>
              <w:left w:val="single" w:color="auto" w:sz="4" w:space="0"/>
              <w:right w:val="single" w:color="auto" w:sz="4" w:space="0"/>
            </w:tcBorders>
            <w:tcW w:w="1620" w:type="dxa"/>
            <w:vAlign w:val="center"/>
            <w:vMerge w:val="restart"/>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所获资质或认证</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证书或证件名称及等级</w:t>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jc w:val="center"/>
              <w:spacing w:line="360" w:lineRule="auto"/>
              <w:widowControl/>
              <w:rPr>
                <w:rFonts w:ascii="宋体" w:hAnsi="宋体"/>
                <w:bCs/>
                <w:color w:val="auto"/>
                <w:sz w:val="24"/>
                <w:highlight w:val="none"/>
              </w:rPr>
            </w:pPr>
            <w:r>
              <w:rPr>
                <w:rFonts w:hint="eastAsia" w:ascii="宋体" w:hAnsi="宋体"/>
                <w:bCs/>
                <w:color w:val="auto"/>
                <w:sz w:val="24"/>
                <w:highlight w:val="none"/>
              </w:rPr>
              <w:t xml:space="preserve">颁发部门</w:t>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jc w:val="center"/>
              <w:spacing w:line="360" w:lineRule="auto"/>
              <w:widowControl/>
              <w:rPr>
                <w:rFonts w:ascii="宋体" w:hAnsi="宋体"/>
                <w:bCs/>
                <w:color w:val="auto"/>
                <w:sz w:val="24"/>
                <w:highlight w:val="none"/>
              </w:rPr>
            </w:pPr>
            <w:r>
              <w:rPr>
                <w:rFonts w:hint="eastAsia" w:ascii="宋体" w:hAnsi="宋体"/>
                <w:bCs/>
                <w:color w:val="auto"/>
                <w:sz w:val="24"/>
                <w:highlight w:val="none"/>
              </w:rPr>
              <w:t xml:space="preserve">颁发时间</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jc w:val="center"/>
              <w:spacing w:line="360" w:lineRule="auto"/>
              <w:widowControl/>
              <w:rPr>
                <w:rFonts w:ascii="宋体" w:hAnsi="宋体"/>
                <w:bCs/>
                <w:color w:val="auto"/>
                <w:sz w:val="24"/>
                <w:highlight w:val="none"/>
              </w:rPr>
            </w:pPr>
            <w:r>
              <w:rPr>
                <w:rFonts w:hint="eastAsia" w:ascii="宋体" w:hAnsi="宋体"/>
                <w:bCs/>
                <w:color w:val="auto"/>
                <w:sz w:val="24"/>
                <w:highlight w:val="none"/>
              </w:rPr>
              <w:t xml:space="preserve">有效期</w:t>
            </w:r>
            <w:r/>
          </w:p>
        </w:tc>
      </w:tr>
      <w:tr>
        <w:trPr>
          <w:jc w:val="center"/>
          <w:trHeight w:val="641"/>
        </w:trPr>
        <w:tc>
          <w:tcPr>
            <w:tcBorders>
              <w:left w:val="single" w:color="auto" w:sz="4" w:space="0"/>
              <w:right w:val="single" w:color="auto" w:sz="4" w:space="0"/>
            </w:tcBorders>
            <w:tcW w:w="1620" w:type="dxa"/>
            <w:vAlign w:val="center"/>
            <w:vMerge w:val="continue"/>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r>
      <w:tr>
        <w:trPr>
          <w:jc w:val="center"/>
          <w:trHeight w:val="607"/>
        </w:trPr>
        <w:tc>
          <w:tcPr>
            <w:tcBorders>
              <w:left w:val="single" w:color="auto" w:sz="4" w:space="0"/>
              <w:right w:val="single" w:color="auto" w:sz="4" w:space="0"/>
            </w:tcBorders>
            <w:tcW w:w="1620" w:type="dxa"/>
            <w:vAlign w:val="center"/>
            <w:vMerge w:val="continue"/>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r>
      <w:tr>
        <w:trPr>
          <w:jc w:val="center"/>
          <w:trHeight w:val="614"/>
        </w:trPr>
        <w:tc>
          <w:tcPr>
            <w:tcBorders>
              <w:left w:val="single" w:color="auto" w:sz="4" w:space="0"/>
              <w:right w:val="single" w:color="auto" w:sz="4" w:space="0"/>
            </w:tcBorders>
            <w:tcW w:w="1620" w:type="dxa"/>
            <w:vAlign w:val="center"/>
            <w:vMerge w:val="continue"/>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r>
      <w:tr>
        <w:trPr>
          <w:jc w:val="center"/>
          <w:trHeight w:val="623"/>
        </w:trPr>
        <w:tc>
          <w:tcPr>
            <w:tcBorders>
              <w:left w:val="single" w:color="auto" w:sz="4" w:space="0"/>
              <w:right w:val="single" w:color="auto" w:sz="4" w:space="0"/>
            </w:tcBorders>
            <w:tcW w:w="1620" w:type="dxa"/>
            <w:vAlign w:val="center"/>
            <w:vMerge w:val="continue"/>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r>
      <w:tr>
        <w:trPr>
          <w:jc w:val="center"/>
          <w:trHeight w:val="588"/>
        </w:trPr>
        <w:tc>
          <w:tcPr>
            <w:tcBorders>
              <w:top w:val="single" w:color="auto" w:sz="4" w:space="0"/>
              <w:left w:val="single" w:color="auto" w:sz="4" w:space="0"/>
              <w:right w:val="single" w:color="auto" w:sz="4" w:space="0"/>
            </w:tcBorders>
            <w:tcW w:w="1620" w:type="dxa"/>
            <w:vAlign w:val="center"/>
            <w:vMerge w:val="restart"/>
            <w:textDirection w:val="lrTb"/>
            <w:noWrap w:val="false"/>
          </w:tcPr>
          <w:p>
            <w:pPr>
              <w:spacing w:line="360" w:lineRule="auto"/>
              <w:rPr>
                <w:rFonts w:ascii="宋体" w:hAnsi="宋体"/>
                <w:color w:val="auto"/>
                <w:sz w:val="24"/>
                <w:highlight w:val="none"/>
              </w:rPr>
            </w:pPr>
            <w:r>
              <w:rPr>
                <w:rFonts w:hint="eastAsia" w:ascii="宋体" w:hAnsi="宋体"/>
                <w:bCs/>
                <w:color w:val="auto"/>
                <w:sz w:val="24"/>
                <w:highlight w:val="none"/>
              </w:rPr>
              <w:t xml:space="preserve">所获荣誉</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荣誉名称</w:t>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jc w:val="center"/>
              <w:spacing w:line="360" w:lineRule="auto"/>
              <w:widowControl/>
              <w:rPr>
                <w:rFonts w:ascii="宋体" w:hAnsi="宋体"/>
                <w:bCs/>
                <w:color w:val="auto"/>
                <w:sz w:val="24"/>
                <w:highlight w:val="none"/>
              </w:rPr>
            </w:pPr>
            <w:r>
              <w:rPr>
                <w:rFonts w:hint="eastAsia" w:ascii="宋体" w:hAnsi="宋体"/>
                <w:bCs/>
                <w:color w:val="auto"/>
                <w:sz w:val="24"/>
                <w:highlight w:val="none"/>
              </w:rPr>
              <w:t xml:space="preserve">颁发部门</w:t>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jc w:val="center"/>
              <w:spacing w:line="360" w:lineRule="auto"/>
              <w:widowControl/>
              <w:rPr>
                <w:rFonts w:ascii="宋体" w:hAnsi="宋体"/>
                <w:bCs/>
                <w:color w:val="auto"/>
                <w:sz w:val="24"/>
                <w:highlight w:val="none"/>
              </w:rPr>
            </w:pPr>
            <w:r>
              <w:rPr>
                <w:rFonts w:hint="eastAsia" w:ascii="宋体" w:hAnsi="宋体"/>
                <w:bCs/>
                <w:color w:val="auto"/>
                <w:sz w:val="24"/>
                <w:highlight w:val="none"/>
              </w:rPr>
              <w:t xml:space="preserve">颁发时间</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jc w:val="center"/>
              <w:spacing w:line="360" w:lineRule="auto"/>
              <w:widowControl/>
              <w:rPr>
                <w:rFonts w:ascii="宋体" w:hAnsi="宋体"/>
                <w:bCs/>
                <w:color w:val="auto"/>
                <w:sz w:val="24"/>
                <w:highlight w:val="none"/>
              </w:rPr>
            </w:pPr>
            <w:r>
              <w:rPr>
                <w:rFonts w:hint="eastAsia" w:ascii="宋体" w:hAnsi="宋体"/>
                <w:bCs/>
                <w:color w:val="auto"/>
                <w:sz w:val="24"/>
                <w:highlight w:val="none"/>
              </w:rPr>
              <w:t xml:space="preserve">有效期</w:t>
            </w:r>
            <w:r/>
          </w:p>
        </w:tc>
      </w:tr>
      <w:tr>
        <w:trPr>
          <w:jc w:val="center"/>
          <w:trHeight w:val="638"/>
        </w:trPr>
        <w:tc>
          <w:tcPr>
            <w:tcBorders>
              <w:left w:val="single" w:color="auto" w:sz="4" w:space="0"/>
              <w:right w:val="single" w:color="auto" w:sz="4" w:space="0"/>
            </w:tcBorders>
            <w:tcW w:w="1620" w:type="dxa"/>
            <w:vAlign w:val="center"/>
            <w:vMerge w:val="continue"/>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r>
      <w:tr>
        <w:trPr>
          <w:jc w:val="center"/>
          <w:trHeight w:val="590"/>
        </w:trPr>
        <w:tc>
          <w:tcPr>
            <w:tcBorders>
              <w:left w:val="single" w:color="auto" w:sz="4" w:space="0"/>
              <w:right w:val="single" w:color="auto" w:sz="4" w:space="0"/>
            </w:tcBorders>
            <w:tcW w:w="1620" w:type="dxa"/>
            <w:vAlign w:val="center"/>
            <w:vMerge w:val="continue"/>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r>
      <w:tr>
        <w:trPr>
          <w:jc w:val="center"/>
          <w:trHeight w:val="432"/>
        </w:trPr>
        <w:tc>
          <w:tcPr>
            <w:tcBorders>
              <w:left w:val="single" w:color="auto" w:sz="4" w:space="0"/>
              <w:bottom w:val="single" w:color="auto" w:sz="4" w:space="0"/>
              <w:right w:val="single" w:color="auto" w:sz="4" w:space="0"/>
            </w:tcBorders>
            <w:tcW w:w="1620" w:type="dxa"/>
            <w:vAlign w:val="center"/>
            <w:vMerge w:val="continue"/>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2785"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gridSpan w:val="2"/>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ind w:firstLine="480"/>
              <w:spacing w:line="360" w:lineRule="auto"/>
              <w:rPr>
                <w:rFonts w:ascii="宋体" w:hAnsi="宋体"/>
                <w:color w:val="auto"/>
                <w:sz w:val="24"/>
                <w:highlight w:val="none"/>
                <w:u w:val="single"/>
              </w:rPr>
            </w:pPr>
            <w:r>
              <w:rPr>
                <w:rFonts w:ascii="宋体" w:hAnsi="宋体"/>
                <w:color w:val="auto"/>
                <w:sz w:val="24"/>
                <w:highlight w:val="none"/>
                <w:u w:val="single"/>
              </w:rPr>
            </w:r>
            <w:r/>
          </w:p>
        </w:tc>
      </w:tr>
      <w:tr>
        <w:trPr>
          <w:jc w:val="center"/>
          <w:trHeight w:val="634"/>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经营范围</w:t>
            </w:r>
            <w:r/>
          </w:p>
        </w:tc>
        <w:tc>
          <w:tcPr>
            <w:gridSpan w:val="6"/>
            <w:tcBorders>
              <w:top w:val="single" w:color="auto" w:sz="4" w:space="0"/>
              <w:left w:val="single" w:color="auto" w:sz="4" w:space="0"/>
              <w:bottom w:val="single" w:color="auto" w:sz="4" w:space="0"/>
              <w:right w:val="single" w:color="auto" w:sz="4" w:space="0"/>
            </w:tcBorders>
            <w:tcW w:w="7659" w:type="dxa"/>
            <w:vAlign w:val="center"/>
            <w:textDirection w:val="lrTb"/>
            <w:noWrap w:val="false"/>
          </w:tcPr>
          <w:p>
            <w:pPr>
              <w:pStyle w:val="852"/>
              <w:ind w:firstLine="480"/>
              <w:tabs>
                <w:tab w:val="left" w:pos="1800" w:leader="none"/>
                <w:tab w:val="left" w:pos="1980" w:leader="none"/>
              </w:tabs>
              <w:rPr>
                <w:color w:val="auto"/>
                <w:sz w:val="24"/>
                <w:szCs w:val="24"/>
                <w:highlight w:val="none"/>
              </w:rPr>
            </w:pPr>
            <w:r>
              <w:rPr>
                <w:color w:val="auto"/>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其他</w:t>
            </w:r>
            <w:r/>
          </w:p>
        </w:tc>
        <w:tc>
          <w:tcPr>
            <w:gridSpan w:val="6"/>
            <w:tcBorders>
              <w:top w:val="single" w:color="auto" w:sz="4" w:space="0"/>
              <w:left w:val="single" w:color="auto" w:sz="4" w:space="0"/>
              <w:bottom w:val="single" w:color="auto" w:sz="4" w:space="0"/>
              <w:right w:val="single" w:color="auto" w:sz="4" w:space="0"/>
            </w:tcBorders>
            <w:tcW w:w="7659" w:type="dxa"/>
            <w:vAlign w:val="center"/>
            <w:textDirection w:val="lrTb"/>
            <w:noWrap w:val="false"/>
          </w:tcPr>
          <w:p>
            <w:pPr>
              <w:ind w:firstLine="480"/>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注：1、表格内容不够，可另附页。</w:t>
      </w:r>
      <w:r/>
    </w:p>
    <w:p>
      <w:pPr>
        <w:ind w:firstLine="2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pStyle w:val="1078"/>
        <w:ind w:firstLine="2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法定代表人或授权代表（签字或盖章）：</w:t>
      </w:r>
      <w:r/>
    </w:p>
    <w:p>
      <w:pPr>
        <w:pStyle w:val="1078"/>
        <w:ind w:firstLine="2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3213"/>
        <w:keepLines/>
        <w:keepNext/>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九</w:t>
      </w:r>
      <w:r>
        <w:rPr>
          <w:rFonts w:hint="eastAsia" w:ascii="宋体" w:hAnsi="宋体" w:cs="宋体"/>
          <w:b/>
          <w:bCs/>
          <w:color w:val="auto"/>
          <w:sz w:val="32"/>
          <w:szCs w:val="32"/>
          <w:highlight w:val="none"/>
        </w:rPr>
        <w:t xml:space="preserve">、服务承诺</w:t>
      </w:r>
      <w:r/>
    </w:p>
    <w:p>
      <w:pPr>
        <w:keepLines/>
        <w:keepNex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tabs>
          <w:tab w:val="left" w:pos="525" w:leader="none"/>
        </w:tabs>
        <w:rPr>
          <w:rFonts w:ascii="宋体" w:hAnsi="宋体"/>
          <w:color w:val="auto"/>
          <w:sz w:val="24"/>
          <w:szCs w:val="24"/>
          <w:highlight w:val="none"/>
        </w:rPr>
      </w:pPr>
      <w:r>
        <w:rPr>
          <w:rFonts w:hint="eastAsia" w:ascii="宋体" w:hAnsi="宋体"/>
          <w:color w:val="auto"/>
          <w:sz w:val="24"/>
          <w:szCs w:val="24"/>
          <w:highlight w:val="none"/>
        </w:rPr>
        <w:t xml:space="preserve">1、我单位承诺，一旦我方成交，我们将根据磋商文件的规定，提供不低于磋商文件要求的服务和相关规定。</w:t>
      </w:r>
      <w:r/>
    </w:p>
    <w:p>
      <w:pPr>
        <w:ind w:firstLine="480"/>
        <w:jc w:val="left"/>
        <w:spacing w:line="360" w:lineRule="auto"/>
        <w:rPr>
          <w:rFonts w:hint="default" w:ascii="宋体" w:hAnsi="宋体" w:eastAsia="宋体"/>
          <w:color w:val="auto"/>
          <w:sz w:val="24"/>
          <w:highlight w:val="none"/>
          <w:u w:val="single"/>
          <w:lang w:val="en-US" w:eastAsia="zh-CN"/>
        </w:rPr>
      </w:pPr>
      <w:r>
        <w:rPr>
          <w:rFonts w:hint="eastAsia" w:ascii="宋体" w:hAnsi="宋体"/>
          <w:color w:val="auto"/>
          <w:sz w:val="24"/>
          <w:szCs w:val="24"/>
          <w:highlight w:val="none"/>
        </w:rPr>
        <w:t xml:space="preserve">2、其他服务承诺：</w:t>
      </w:r>
      <w:r>
        <w:rPr>
          <w:rFonts w:hint="eastAsia" w:ascii="宋体" w:hAnsi="宋体"/>
          <w:color w:val="auto"/>
          <w:sz w:val="24"/>
          <w:szCs w:val="24"/>
          <w:highlight w:val="none"/>
          <w:u w:val="single"/>
          <w:lang w:val="en-US" w:eastAsia="zh-CN"/>
        </w:rPr>
        <w:t xml:space="preserve">                               </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pStyle w:val="1078"/>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法定代表人或授权代表（签字或盖章）：</w:t>
      </w:r>
      <w:r/>
    </w:p>
    <w:p>
      <w:pPr>
        <w:pStyle w:val="1078"/>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pStyle w:val="1078"/>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78"/>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78"/>
        <w:spacing w:line="360" w:lineRule="auto"/>
        <w:rPr>
          <w:rFonts w:ascii="宋体" w:hAnsi="宋体"/>
          <w:bCs/>
          <w:color w:val="auto"/>
          <w:sz w:val="24"/>
          <w:szCs w:val="24"/>
          <w:highlight w:val="none"/>
        </w:rPr>
      </w:pPr>
      <w:r>
        <w:rPr>
          <w:rFonts w:ascii="宋体" w:hAnsi="宋体"/>
          <w:bCs/>
          <w:color w:val="auto"/>
          <w:sz w:val="24"/>
          <w:szCs w:val="24"/>
          <w:highlight w:val="none"/>
        </w:rPr>
      </w:r>
      <w:r/>
    </w:p>
    <w:p>
      <w:pPr>
        <w:pStyle w:val="1078"/>
        <w:spacing w:line="360" w:lineRule="auto"/>
        <w:rPr>
          <w:rFonts w:ascii="宋体" w:hAnsi="宋体"/>
          <w:bCs/>
          <w:color w:val="auto"/>
          <w:sz w:val="24"/>
          <w:szCs w:val="24"/>
          <w:highlight w:val="none"/>
        </w:rPr>
      </w:pPr>
      <w:r>
        <w:rPr>
          <w:rFonts w:ascii="宋体" w:hAnsi="宋体"/>
          <w:bCs/>
          <w:color w:val="auto"/>
          <w:sz w:val="24"/>
          <w:szCs w:val="24"/>
          <w:highlight w:val="none"/>
        </w:rPr>
      </w:r>
      <w:r/>
    </w:p>
    <w:p>
      <w:pPr>
        <w:pStyle w:val="1078"/>
        <w:spacing w:line="360" w:lineRule="auto"/>
        <w:rPr>
          <w:rFonts w:ascii="宋体" w:hAnsi="宋体"/>
          <w:bCs/>
          <w:color w:val="auto"/>
          <w:sz w:val="24"/>
          <w:szCs w:val="24"/>
          <w:highlight w:val="none"/>
        </w:rPr>
      </w:pPr>
      <w:r>
        <w:rPr>
          <w:rFonts w:ascii="宋体" w:hAnsi="宋体"/>
          <w:bCs/>
          <w:color w:val="auto"/>
          <w:sz w:val="24"/>
          <w:szCs w:val="24"/>
          <w:highlight w:val="none"/>
        </w:rPr>
      </w:r>
      <w:r/>
    </w:p>
    <w:p>
      <w:pPr>
        <w:keepLines/>
        <w:keepNext/>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13"/>
        <w:keepLines/>
        <w:keepNext/>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848"/>
        <w:rPr>
          <w:color w:val="auto"/>
          <w:highlight w:val="none"/>
        </w:rPr>
      </w:pPr>
      <w:r>
        <w:rPr>
          <w:color w:val="auto"/>
          <w:highlight w:val="none"/>
        </w:rPr>
      </w:r>
      <w:r/>
    </w:p>
    <w:p>
      <w:pPr>
        <w:ind w:firstLine="3213"/>
        <w:keepLines/>
        <w:keepNext/>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13"/>
        <w:keepLines/>
        <w:keepNext/>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ind w:firstLine="643"/>
        <w:spacing w:line="360" w:lineRule="auto"/>
        <w:tabs>
          <w:tab w:val="left" w:pos="90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二十</w:t>
      </w:r>
      <w:r>
        <w:rPr>
          <w:rFonts w:hint="eastAsia" w:ascii="宋体" w:hAnsi="宋体" w:cs="宋体"/>
          <w:b/>
          <w:bCs/>
          <w:color w:val="auto"/>
          <w:sz w:val="32"/>
          <w:szCs w:val="32"/>
          <w:highlight w:val="none"/>
        </w:rPr>
        <w:t xml:space="preserve">、项目需求、评分标准中对应的其它所需证明材料（如有自行添加）</w:t>
      </w:r>
      <w:r/>
    </w:p>
    <w:p>
      <w:pPr>
        <w:ind w:firstLine="643"/>
        <w:spacing w:line="360" w:lineRule="auto"/>
        <w:tabs>
          <w:tab w:val="left" w:pos="90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二十一</w:t>
      </w:r>
      <w:r>
        <w:rPr>
          <w:rFonts w:hint="eastAsia" w:ascii="宋体" w:hAnsi="宋体" w:cs="宋体"/>
          <w:b/>
          <w:bCs/>
          <w:color w:val="auto"/>
          <w:sz w:val="32"/>
          <w:szCs w:val="32"/>
          <w:highlight w:val="none"/>
        </w:rPr>
        <w:t xml:space="preserve">、其它（供应商认为有必要提供的声明和文件，如有自拟并自行添加）</w:t>
      </w:r>
      <w:r/>
    </w:p>
    <w:p>
      <w:pPr>
        <w:ind w:firstLine="643"/>
        <w:spacing w:line="360" w:lineRule="auto"/>
        <w:tabs>
          <w:tab w:val="left" w:pos="90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78"/>
        <w:spacing w:line="360" w:lineRule="auto"/>
        <w:rPr>
          <w:rFonts w:ascii="宋体" w:hAnsi="宋体"/>
          <w:bCs/>
          <w:color w:val="auto"/>
          <w:sz w:val="24"/>
          <w:szCs w:val="24"/>
          <w:highlight w:val="none"/>
        </w:rPr>
      </w:pPr>
      <w:r>
        <w:rPr>
          <w:rFonts w:ascii="宋体" w:hAnsi="宋体"/>
          <w:bCs/>
          <w:color w:val="auto"/>
          <w:sz w:val="24"/>
          <w:szCs w:val="24"/>
          <w:highlight w:val="none"/>
        </w:rPr>
      </w:r>
      <w:r/>
    </w:p>
    <w:p>
      <w:pPr>
        <w:keepLines/>
        <w:keepNext/>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855"/>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质疑函范本</w:t>
      </w:r>
      <w:r/>
    </w:p>
    <w:p>
      <w:pPr>
        <w:spacing w:before="290" w:line="360" w:lineRule="auto"/>
        <w:rPr>
          <w:rFonts w:ascii="宋体" w:hAnsi="宋体" w:cs="宋体"/>
          <w:color w:val="auto"/>
          <w:sz w:val="24"/>
          <w:highlight w:val="none"/>
        </w:rPr>
      </w:pPr>
      <w:r>
        <w:rPr>
          <w:rFonts w:hint="eastAsia" w:ascii="宋体" w:hAnsi="宋体" w:cs="宋体"/>
          <w:color w:val="auto"/>
          <w:sz w:val="24"/>
          <w:highlight w:val="none"/>
        </w:rPr>
        <w:t xml:space="preserve">一、质疑供应商基本信息</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质疑供应商：</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二、质疑项目基本情况</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质疑项目的名称：</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质疑项目的编号：</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采购人名称：</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采购文件获取日期：</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三、质疑事项具体内容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质疑事项1：</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事实依据：</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法律依据：</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质疑事项2</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四、与质疑事项相关的质疑请求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请求：</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签字(签章)：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质疑函制作说明：</w:t>
      </w:r>
      <w:r/>
    </w:p>
    <w:p>
      <w:pPr>
        <w:ind w:firstLine="67"/>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1.供应商提出质疑时，应提交质疑函和必要的证明材料。</w:t>
      </w:r>
      <w:r/>
    </w:p>
    <w:p>
      <w:pPr>
        <w:ind w:firstLine="67"/>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7"/>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3.质疑供应商若对项目的某一分包进行质疑，质疑函中应列明具体分包号。</w:t>
      </w:r>
      <w:r/>
    </w:p>
    <w:p>
      <w:pPr>
        <w:ind w:firstLine="67"/>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4.质疑函的质疑事项应具体、明确，并有必要的事实依据和法律依据。</w:t>
      </w:r>
      <w:r/>
    </w:p>
    <w:p>
      <w:pPr>
        <w:ind w:firstLine="67"/>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5.质疑函的质疑请求应与质疑事项相关。</w:t>
      </w:r>
      <w:r/>
    </w:p>
    <w:p>
      <w:pPr>
        <w:ind w:firstLine="67"/>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67"/>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firstLine="67"/>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firstLine="59"/>
        <w:rPr>
          <w:color w:val="auto"/>
          <w:highlight w:val="none"/>
        </w:rPr>
      </w:pPr>
      <w:r>
        <w:rPr>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1078"/>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contextualSpacing/>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Light">
    <w:panose1 w:val="02010600030101010101"/>
  </w:font>
  <w:font w:name="幼圆">
    <w:panose1 w:val="02010509060101010101"/>
  </w:font>
  <w:font w:name="黑体">
    <w:panose1 w:val="02010609060101010101"/>
  </w:font>
  <w:font w:name="Verdan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845"/>
    <w:link w:val="836"/>
    <w:uiPriority w:val="9"/>
    <w:rPr>
      <w:rFonts w:ascii="Arial" w:hAnsi="Arial" w:eastAsia="Arial" w:cs="Arial"/>
      <w:sz w:val="40"/>
      <w:szCs w:val="40"/>
    </w:rPr>
  </w:style>
  <w:style w:type="character" w:styleId="799">
    <w:name w:val="Heading 2 Char"/>
    <w:basedOn w:val="845"/>
    <w:link w:val="1125"/>
    <w:uiPriority w:val="9"/>
    <w:rPr>
      <w:rFonts w:ascii="Arial" w:hAnsi="Arial" w:eastAsia="Arial" w:cs="Arial"/>
      <w:sz w:val="34"/>
    </w:rPr>
  </w:style>
  <w:style w:type="character" w:styleId="800">
    <w:name w:val="Heading 3 Char"/>
    <w:basedOn w:val="845"/>
    <w:link w:val="838"/>
    <w:uiPriority w:val="9"/>
    <w:rPr>
      <w:rFonts w:ascii="Arial" w:hAnsi="Arial" w:eastAsia="Arial" w:cs="Arial"/>
      <w:sz w:val="30"/>
      <w:szCs w:val="30"/>
    </w:rPr>
  </w:style>
  <w:style w:type="character" w:styleId="801">
    <w:name w:val="Heading 4 Char"/>
    <w:basedOn w:val="845"/>
    <w:link w:val="839"/>
    <w:uiPriority w:val="9"/>
    <w:rPr>
      <w:rFonts w:ascii="Arial" w:hAnsi="Arial" w:eastAsia="Arial" w:cs="Arial"/>
      <w:b/>
      <w:bCs/>
      <w:sz w:val="26"/>
      <w:szCs w:val="26"/>
    </w:rPr>
  </w:style>
  <w:style w:type="character" w:styleId="802">
    <w:name w:val="Heading 5 Char"/>
    <w:basedOn w:val="845"/>
    <w:link w:val="840"/>
    <w:uiPriority w:val="9"/>
    <w:rPr>
      <w:rFonts w:ascii="Arial" w:hAnsi="Arial" w:eastAsia="Arial" w:cs="Arial"/>
      <w:b/>
      <w:bCs/>
      <w:sz w:val="24"/>
      <w:szCs w:val="24"/>
    </w:rPr>
  </w:style>
  <w:style w:type="character" w:styleId="803">
    <w:name w:val="Heading 6 Char"/>
    <w:basedOn w:val="845"/>
    <w:link w:val="841"/>
    <w:uiPriority w:val="9"/>
    <w:rPr>
      <w:rFonts w:ascii="Arial" w:hAnsi="Arial" w:eastAsia="Arial" w:cs="Arial"/>
      <w:b/>
      <w:bCs/>
      <w:sz w:val="22"/>
      <w:szCs w:val="22"/>
    </w:rPr>
  </w:style>
  <w:style w:type="character" w:styleId="804">
    <w:name w:val="Heading 7 Char"/>
    <w:basedOn w:val="845"/>
    <w:link w:val="842"/>
    <w:uiPriority w:val="9"/>
    <w:rPr>
      <w:rFonts w:ascii="Arial" w:hAnsi="Arial" w:eastAsia="Arial" w:cs="Arial"/>
      <w:b/>
      <w:bCs/>
      <w:i/>
      <w:iCs/>
      <w:sz w:val="22"/>
      <w:szCs w:val="22"/>
    </w:rPr>
  </w:style>
  <w:style w:type="character" w:styleId="805">
    <w:name w:val="Heading 8 Char"/>
    <w:basedOn w:val="845"/>
    <w:link w:val="843"/>
    <w:uiPriority w:val="9"/>
    <w:rPr>
      <w:rFonts w:ascii="Arial" w:hAnsi="Arial" w:eastAsia="Arial" w:cs="Arial"/>
      <w:i/>
      <w:iCs/>
      <w:sz w:val="22"/>
      <w:szCs w:val="22"/>
    </w:rPr>
  </w:style>
  <w:style w:type="character" w:styleId="806">
    <w:name w:val="Heading 9 Char"/>
    <w:basedOn w:val="845"/>
    <w:link w:val="844"/>
    <w:uiPriority w:val="9"/>
    <w:rPr>
      <w:rFonts w:ascii="Arial" w:hAnsi="Arial" w:eastAsia="Arial" w:cs="Arial"/>
      <w:i/>
      <w:iCs/>
      <w:sz w:val="21"/>
      <w:szCs w:val="21"/>
    </w:rPr>
  </w:style>
  <w:style w:type="character" w:styleId="807">
    <w:name w:val="Title Char"/>
    <w:basedOn w:val="845"/>
    <w:link w:val="870"/>
    <w:uiPriority w:val="10"/>
    <w:rPr>
      <w:sz w:val="48"/>
      <w:szCs w:val="48"/>
    </w:rPr>
  </w:style>
  <w:style w:type="character" w:styleId="808">
    <w:name w:val="Subtitle Char"/>
    <w:basedOn w:val="845"/>
    <w:link w:val="863"/>
    <w:uiPriority w:val="11"/>
    <w:rPr>
      <w:sz w:val="24"/>
      <w:szCs w:val="24"/>
    </w:rPr>
  </w:style>
  <w:style w:type="character" w:styleId="809">
    <w:name w:val="Quote Char"/>
    <w:link w:val="896"/>
    <w:uiPriority w:val="29"/>
    <w:rPr>
      <w:i/>
    </w:rPr>
  </w:style>
  <w:style w:type="character" w:styleId="810">
    <w:name w:val="Intense Quote Char"/>
    <w:link w:val="898"/>
    <w:uiPriority w:val="30"/>
    <w:rPr>
      <w:i/>
    </w:rPr>
  </w:style>
  <w:style w:type="character" w:styleId="811">
    <w:name w:val="Header Char"/>
    <w:basedOn w:val="845"/>
    <w:link w:val="860"/>
    <w:uiPriority w:val="99"/>
  </w:style>
  <w:style w:type="character" w:styleId="812">
    <w:name w:val="Caption Char"/>
    <w:basedOn w:val="850"/>
    <w:link w:val="859"/>
    <w:uiPriority w:val="99"/>
  </w:style>
  <w:style w:type="table" w:styleId="813">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2">
    <w:name w:val="Footnote Text Char"/>
    <w:link w:val="864"/>
    <w:uiPriority w:val="99"/>
    <w:rPr>
      <w:sz w:val="18"/>
    </w:rPr>
  </w:style>
  <w:style w:type="character" w:styleId="833">
    <w:name w:val="Endnote Text Char"/>
    <w:link w:val="858"/>
    <w:uiPriority w:val="99"/>
    <w:rPr>
      <w:sz w:val="20"/>
    </w:rPr>
  </w:style>
  <w:style w:type="paragraph" w:styleId="834">
    <w:name w:val="TOC Heading"/>
    <w:uiPriority w:val="39"/>
    <w:unhideWhenUsed/>
  </w:style>
  <w:style w:type="paragraph" w:styleId="83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36">
    <w:name w:val="Heading 1"/>
    <w:basedOn w:val="835"/>
    <w:next w:val="835"/>
    <w:link w:val="883"/>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884"/>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885"/>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886"/>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887"/>
    <w:uiPriority w:val="9"/>
    <w:unhideWhenUsed/>
    <w:qFormat/>
    <w:pPr>
      <w:keepLines/>
      <w:keepNext/>
      <w:spacing w:before="320" w:after="200"/>
      <w:outlineLvl w:val="4"/>
    </w:pPr>
    <w:rPr>
      <w:rFonts w:ascii="Arial" w:hAnsi="Arial" w:eastAsia="Arial" w:cs="Arial"/>
      <w:b/>
      <w:bCs/>
      <w:sz w:val="24"/>
    </w:rPr>
  </w:style>
  <w:style w:type="paragraph" w:styleId="841">
    <w:name w:val="Heading 6"/>
    <w:basedOn w:val="835"/>
    <w:next w:val="835"/>
    <w:link w:val="888"/>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890"/>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891"/>
    <w:uiPriority w:val="9"/>
    <w:unhideWhenUsed/>
    <w:qFormat/>
    <w:pPr>
      <w:keepLines/>
      <w:keepNext/>
      <w:spacing w:before="320" w:after="200"/>
      <w:outlineLvl w:val="8"/>
    </w:pPr>
    <w:rPr>
      <w:rFonts w:ascii="Arial" w:hAnsi="Arial" w:eastAsia="Arial" w:cs="Arial"/>
      <w:i/>
      <w:iCs/>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spacing w:after="57"/>
    </w:pPr>
  </w:style>
  <w:style w:type="paragraph" w:styleId="848">
    <w:name w:val="Note Heading"/>
    <w:basedOn w:val="835"/>
    <w:next w:val="835"/>
    <w:uiPriority w:val="0"/>
    <w:unhideWhenUsed/>
    <w:qFormat/>
    <w:pPr>
      <w:ind w:firstLine="480"/>
      <w:jc w:val="center"/>
      <w:spacing w:line="360" w:lineRule="auto"/>
    </w:pPr>
    <w:rPr>
      <w:rFonts w:ascii="Times New Roman" w:hAnsi="Times New Roman"/>
      <w:lang w:val="zh-CN"/>
    </w:rPr>
  </w:style>
  <w:style w:type="paragraph" w:styleId="849">
    <w:name w:val="Normal Indent"/>
    <w:basedOn w:val="835"/>
    <w:uiPriority w:val="0"/>
    <w:qFormat/>
    <w:pPr>
      <w:ind w:firstLine="420"/>
    </w:pPr>
    <w:rPr>
      <w:rFonts w:ascii="Times New Roman" w:hAnsi="Times New Roman"/>
      <w:sz w:val="20"/>
      <w:szCs w:val="20"/>
    </w:rPr>
  </w:style>
  <w:style w:type="paragraph" w:styleId="850">
    <w:name w:val="Caption"/>
    <w:basedOn w:val="835"/>
    <w:next w:val="835"/>
    <w:uiPriority w:val="35"/>
    <w:semiHidden/>
    <w:unhideWhenUsed/>
    <w:qFormat/>
    <w:pPr>
      <w:spacing w:line="276" w:lineRule="auto"/>
    </w:pPr>
    <w:rPr>
      <w:b/>
      <w:bCs/>
      <w:color w:val="4f81bd"/>
      <w:sz w:val="18"/>
      <w:szCs w:val="18"/>
    </w:rPr>
  </w:style>
  <w:style w:type="paragraph" w:styleId="851">
    <w:name w:val="Body Text"/>
    <w:basedOn w:val="835"/>
    <w:uiPriority w:val="0"/>
    <w:qFormat/>
    <w:rPr>
      <w:rFonts w:ascii="楷体_GB2312" w:hAnsi="Arial" w:eastAsia="楷体_GB2312"/>
      <w:sz w:val="28"/>
      <w:szCs w:val="20"/>
    </w:rPr>
  </w:style>
  <w:style w:type="paragraph" w:styleId="852">
    <w:name w:val="Body Text Indent"/>
    <w:basedOn w:val="835"/>
    <w:uiPriority w:val="0"/>
    <w:qFormat/>
    <w:pPr>
      <w:ind w:firstLine="552"/>
      <w:spacing w:before="240" w:line="360" w:lineRule="auto"/>
    </w:pPr>
    <w:rPr>
      <w:rFonts w:ascii="宋体" w:hAnsi="宋体"/>
      <w:szCs w:val="20"/>
    </w:rPr>
  </w:style>
  <w:style w:type="paragraph" w:styleId="853">
    <w:name w:val="toc 5"/>
    <w:basedOn w:val="835"/>
    <w:next w:val="835"/>
    <w:uiPriority w:val="39"/>
    <w:unhideWhenUsed/>
    <w:qFormat/>
    <w:pPr>
      <w:ind w:left="1134"/>
      <w:spacing w:after="57"/>
    </w:pPr>
  </w:style>
  <w:style w:type="paragraph" w:styleId="854">
    <w:name w:val="toc 3"/>
    <w:basedOn w:val="835"/>
    <w:next w:val="835"/>
    <w:uiPriority w:val="39"/>
    <w:unhideWhenUsed/>
    <w:qFormat/>
    <w:pPr>
      <w:ind w:left="567"/>
      <w:spacing w:after="57"/>
    </w:pPr>
  </w:style>
  <w:style w:type="paragraph" w:styleId="855">
    <w:name w:val="Plain Text"/>
    <w:basedOn w:val="835"/>
    <w:next w:val="849"/>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56">
    <w:name w:val="toc 8"/>
    <w:basedOn w:val="835"/>
    <w:next w:val="835"/>
    <w:uiPriority w:val="39"/>
    <w:unhideWhenUsed/>
    <w:qFormat/>
    <w:pPr>
      <w:ind w:left="1984"/>
      <w:spacing w:after="57"/>
    </w:pPr>
  </w:style>
  <w:style w:type="paragraph" w:styleId="857">
    <w:name w:val="Date"/>
    <w:basedOn w:val="835"/>
    <w:next w:val="835"/>
    <w:uiPriority w:val="0"/>
    <w:qFormat/>
    <w:pPr>
      <w:ind w:left="100"/>
    </w:pPr>
  </w:style>
  <w:style w:type="paragraph" w:styleId="858">
    <w:name w:val="endnote text"/>
    <w:basedOn w:val="835"/>
    <w:link w:val="1029"/>
    <w:uiPriority w:val="99"/>
    <w:semiHidden/>
    <w:unhideWhenUsed/>
    <w:qFormat/>
    <w:rPr>
      <w:sz w:val="20"/>
    </w:rPr>
  </w:style>
  <w:style w:type="paragraph" w:styleId="859">
    <w:name w:val="Footer"/>
    <w:basedOn w:val="835"/>
    <w:link w:val="902"/>
    <w:uiPriority w:val="99"/>
    <w:unhideWhenUsed/>
    <w:qFormat/>
    <w:pPr>
      <w:tabs>
        <w:tab w:val="center" w:pos="7143" w:leader="none"/>
        <w:tab w:val="right" w:pos="14287" w:leader="none"/>
      </w:tabs>
    </w:pPr>
  </w:style>
  <w:style w:type="paragraph" w:styleId="860">
    <w:name w:val="Header"/>
    <w:basedOn w:val="835"/>
    <w:link w:val="900"/>
    <w:uiPriority w:val="99"/>
    <w:unhideWhenUsed/>
    <w:qFormat/>
    <w:pPr>
      <w:tabs>
        <w:tab w:val="center" w:pos="7143" w:leader="none"/>
        <w:tab w:val="right" w:pos="14287" w:leader="none"/>
      </w:tabs>
    </w:pPr>
  </w:style>
  <w:style w:type="paragraph" w:styleId="861">
    <w:name w:val="toc 1"/>
    <w:basedOn w:val="835"/>
    <w:next w:val="835"/>
    <w:uiPriority w:val="39"/>
    <w:unhideWhenUsed/>
    <w:qFormat/>
    <w:pPr>
      <w:spacing w:after="57"/>
    </w:pPr>
  </w:style>
  <w:style w:type="paragraph" w:styleId="862">
    <w:name w:val="toc 4"/>
    <w:basedOn w:val="835"/>
    <w:next w:val="835"/>
    <w:uiPriority w:val="39"/>
    <w:unhideWhenUsed/>
    <w:qFormat/>
    <w:pPr>
      <w:ind w:left="850"/>
      <w:spacing w:after="57"/>
    </w:pPr>
  </w:style>
  <w:style w:type="paragraph" w:styleId="863">
    <w:name w:val="Subtitle"/>
    <w:basedOn w:val="835"/>
    <w:next w:val="835"/>
    <w:link w:val="895"/>
    <w:uiPriority w:val="11"/>
    <w:qFormat/>
    <w:pPr>
      <w:spacing w:before="200" w:after="200"/>
    </w:pPr>
    <w:rPr>
      <w:sz w:val="24"/>
    </w:rPr>
  </w:style>
  <w:style w:type="paragraph" w:styleId="864">
    <w:name w:val="footnote text"/>
    <w:basedOn w:val="835"/>
    <w:link w:val="1028"/>
    <w:uiPriority w:val="99"/>
    <w:semiHidden/>
    <w:unhideWhenUsed/>
    <w:qFormat/>
    <w:pPr>
      <w:spacing w:after="40"/>
    </w:pPr>
    <w:rPr>
      <w:sz w:val="18"/>
    </w:rPr>
  </w:style>
  <w:style w:type="paragraph" w:styleId="865">
    <w:name w:val="toc 6"/>
    <w:basedOn w:val="835"/>
    <w:next w:val="835"/>
    <w:uiPriority w:val="39"/>
    <w:unhideWhenUsed/>
    <w:qFormat/>
    <w:pPr>
      <w:ind w:left="1417"/>
      <w:spacing w:after="57"/>
    </w:pPr>
  </w:style>
  <w:style w:type="paragraph" w:styleId="866">
    <w:name w:val="table of figures"/>
    <w:basedOn w:val="835"/>
    <w:next w:val="835"/>
    <w:uiPriority w:val="99"/>
    <w:unhideWhenUsed/>
    <w:qFormat/>
  </w:style>
  <w:style w:type="paragraph" w:styleId="867">
    <w:name w:val="toc 2"/>
    <w:basedOn w:val="835"/>
    <w:next w:val="835"/>
    <w:uiPriority w:val="39"/>
    <w:unhideWhenUsed/>
    <w:qFormat/>
    <w:pPr>
      <w:ind w:left="283"/>
      <w:spacing w:after="57"/>
    </w:pPr>
  </w:style>
  <w:style w:type="paragraph" w:styleId="868">
    <w:name w:val="toc 9"/>
    <w:basedOn w:val="835"/>
    <w:next w:val="835"/>
    <w:uiPriority w:val="39"/>
    <w:unhideWhenUsed/>
    <w:qFormat/>
    <w:pPr>
      <w:ind w:left="2268"/>
      <w:spacing w:after="57"/>
    </w:pPr>
  </w:style>
  <w:style w:type="paragraph" w:styleId="869">
    <w:name w:val="Normal (Web)"/>
    <w:basedOn w:val="835"/>
    <w:uiPriority w:val="99"/>
    <w:semiHidden/>
    <w:unhideWhenUsed/>
    <w:qFormat/>
    <w:pPr>
      <w:jc w:val="left"/>
      <w:spacing w:beforeAutospacing="1" w:afterAutospacing="1"/>
    </w:pPr>
    <w:rPr>
      <w:sz w:val="24"/>
    </w:rPr>
  </w:style>
  <w:style w:type="paragraph" w:styleId="870">
    <w:name w:val="Title"/>
    <w:basedOn w:val="835"/>
    <w:next w:val="835"/>
    <w:link w:val="894"/>
    <w:uiPriority w:val="10"/>
    <w:qFormat/>
    <w:pPr>
      <w:contextualSpacing/>
      <w:spacing w:before="300" w:after="200"/>
    </w:pPr>
    <w:rPr>
      <w:sz w:val="48"/>
      <w:szCs w:val="48"/>
    </w:rPr>
  </w:style>
  <w:style w:type="paragraph" w:styleId="871">
    <w:name w:val="Body Text First Indent"/>
    <w:basedOn w:val="851"/>
    <w:uiPriority w:val="0"/>
    <w:qFormat/>
    <w:pPr>
      <w:ind w:firstLine="420"/>
    </w:pPr>
    <w:rPr>
      <w:rFonts w:ascii="Verdana" w:hAnsi="Verdana"/>
      <w:szCs w:val="28"/>
      <w:lang w:eastAsia="en-US"/>
    </w:r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page number"/>
    <w:uiPriority w:val="0"/>
    <w:qFormat/>
    <w:rPr>
      <w:rFonts w:ascii="Times New Roman" w:hAnsi="Times New Roman" w:eastAsia="宋体" w:cs="Times New Roman"/>
    </w:rPr>
  </w:style>
  <w:style w:type="character" w:styleId="875">
    <w:name w:val="Hyperlink"/>
    <w:uiPriority w:val="99"/>
    <w:unhideWhenUsed/>
    <w:qFormat/>
    <w:rPr>
      <w:color w:val="0000ff"/>
      <w:u w:val="single"/>
    </w:rPr>
  </w:style>
  <w:style w:type="character" w:styleId="876">
    <w:name w:val="footnote reference"/>
    <w:uiPriority w:val="99"/>
    <w:unhideWhenUsed/>
    <w:qFormat/>
    <w:rPr>
      <w:vertAlign w:val="superscript"/>
    </w:rPr>
  </w:style>
  <w:style w:type="paragraph" w:styleId="877" w:customStyle="1">
    <w:name w:val="正文1"/>
    <w:next w:val="878"/>
    <w:uiPriority w:val="0"/>
    <w:qFormat/>
    <w:rPr>
      <w:rFonts w:hint="default" w:ascii="Times New Roman" w:hAnsi="Times New Roman" w:eastAsia="宋体" w:cs="Times New Roman"/>
      <w:lang w:val="en-US" w:eastAsia="zh-CN" w:bidi="ar-SA"/>
    </w:rPr>
  </w:style>
  <w:style w:type="paragraph" w:styleId="878" w:customStyle="1">
    <w:name w:val="正文文本1"/>
    <w:basedOn w:val="835"/>
    <w:uiPriority w:val="0"/>
    <w:qFormat/>
    <w:rPr>
      <w:rFonts w:ascii="楷体_GB2312" w:hAnsi="Arial" w:eastAsia="黑体"/>
      <w:sz w:val="28"/>
      <w:szCs w:val="28"/>
    </w:rPr>
  </w:style>
  <w:style w:type="paragraph" w:styleId="879" w:customStyle="1">
    <w:name w:val="一级条标题"/>
    <w:basedOn w:val="880"/>
    <w:next w:val="881"/>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880" w:customStyle="1">
    <w:name w:val="章标题"/>
    <w:next w:val="83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1" w:customStyle="1">
    <w:name w:val="段"/>
    <w:basedOn w:val="877"/>
    <w:next w:val="835"/>
    <w:uiPriority w:val="0"/>
    <w:qFormat/>
    <w:pPr>
      <w:ind w:firstLine="200"/>
      <w:widowControl/>
    </w:pPr>
    <w:rPr>
      <w:rFonts w:ascii="宋体"/>
      <w:sz w:val="20"/>
      <w:szCs w:val="20"/>
    </w:rPr>
  </w:style>
  <w:style w:type="paragraph" w:styleId="882" w:customStyle="1">
    <w:name w:val="DAS正文"/>
    <w:basedOn w:val="835"/>
    <w:uiPriority w:val="0"/>
    <w:qFormat/>
    <w:pPr>
      <w:ind w:right="181" w:firstLine="480"/>
      <w:spacing w:line="360" w:lineRule="auto"/>
    </w:pPr>
    <w:rPr>
      <w:rFonts w:ascii="Verdana" w:hAnsi="Verdana"/>
    </w:rPr>
  </w:style>
  <w:style w:type="character" w:styleId="883" w:customStyle="1">
    <w:name w:val="标题 1 字符"/>
    <w:link w:val="836"/>
    <w:uiPriority w:val="9"/>
    <w:qFormat/>
    <w:rPr>
      <w:rFonts w:ascii="Arial" w:hAnsi="Arial" w:eastAsia="Arial" w:cs="Arial"/>
      <w:sz w:val="40"/>
      <w:szCs w:val="40"/>
    </w:rPr>
  </w:style>
  <w:style w:type="character" w:styleId="884" w:customStyle="1">
    <w:name w:val="标题 2 字符"/>
    <w:link w:val="837"/>
    <w:uiPriority w:val="9"/>
    <w:qFormat/>
    <w:rPr>
      <w:rFonts w:ascii="Arial" w:hAnsi="Arial" w:eastAsia="Arial" w:cs="Arial"/>
      <w:sz w:val="34"/>
    </w:rPr>
  </w:style>
  <w:style w:type="character" w:styleId="885" w:customStyle="1">
    <w:name w:val="标题 3 字符"/>
    <w:link w:val="838"/>
    <w:uiPriority w:val="9"/>
    <w:qFormat/>
    <w:rPr>
      <w:rFonts w:ascii="Arial" w:hAnsi="Arial" w:eastAsia="Arial" w:cs="Arial"/>
      <w:sz w:val="30"/>
      <w:szCs w:val="30"/>
    </w:rPr>
  </w:style>
  <w:style w:type="character" w:styleId="886" w:customStyle="1">
    <w:name w:val="标题 4 字符"/>
    <w:link w:val="839"/>
    <w:uiPriority w:val="9"/>
    <w:qFormat/>
    <w:rPr>
      <w:rFonts w:ascii="Arial" w:hAnsi="Arial" w:eastAsia="Arial" w:cs="Arial"/>
      <w:b/>
      <w:bCs/>
      <w:sz w:val="26"/>
      <w:szCs w:val="26"/>
    </w:rPr>
  </w:style>
  <w:style w:type="character" w:styleId="887" w:customStyle="1">
    <w:name w:val="标题 5 字符"/>
    <w:link w:val="840"/>
    <w:uiPriority w:val="9"/>
    <w:qFormat/>
    <w:rPr>
      <w:rFonts w:ascii="Arial" w:hAnsi="Arial" w:eastAsia="Arial" w:cs="Arial"/>
      <w:b/>
      <w:bCs/>
      <w:sz w:val="24"/>
      <w:szCs w:val="24"/>
    </w:rPr>
  </w:style>
  <w:style w:type="character" w:styleId="888" w:customStyle="1">
    <w:name w:val="标题 6 字符"/>
    <w:link w:val="841"/>
    <w:uiPriority w:val="9"/>
    <w:qFormat/>
    <w:rPr>
      <w:rFonts w:ascii="Arial" w:hAnsi="Arial" w:eastAsia="Arial" w:cs="Arial"/>
      <w:b/>
      <w:bCs/>
      <w:sz w:val="22"/>
      <w:szCs w:val="22"/>
    </w:rPr>
  </w:style>
  <w:style w:type="character" w:styleId="889" w:customStyle="1">
    <w:name w:val="标题 7 字符"/>
    <w:link w:val="842"/>
    <w:uiPriority w:val="9"/>
    <w:qFormat/>
    <w:rPr>
      <w:rFonts w:ascii="Arial" w:hAnsi="Arial" w:eastAsia="Arial" w:cs="Arial"/>
      <w:b/>
      <w:bCs/>
      <w:i/>
      <w:iCs/>
      <w:sz w:val="22"/>
      <w:szCs w:val="22"/>
    </w:rPr>
  </w:style>
  <w:style w:type="character" w:styleId="890" w:customStyle="1">
    <w:name w:val="标题 8 字符"/>
    <w:link w:val="843"/>
    <w:uiPriority w:val="9"/>
    <w:qFormat/>
    <w:rPr>
      <w:rFonts w:ascii="Arial" w:hAnsi="Arial" w:eastAsia="Arial" w:cs="Arial"/>
      <w:i/>
      <w:iCs/>
      <w:sz w:val="22"/>
      <w:szCs w:val="22"/>
    </w:rPr>
  </w:style>
  <w:style w:type="character" w:styleId="891" w:customStyle="1">
    <w:name w:val="标题 9 字符"/>
    <w:link w:val="844"/>
    <w:uiPriority w:val="9"/>
    <w:qFormat/>
    <w:rPr>
      <w:rFonts w:ascii="Arial" w:hAnsi="Arial" w:eastAsia="Arial" w:cs="Arial"/>
      <w:i/>
      <w:iCs/>
      <w:sz w:val="21"/>
      <w:szCs w:val="21"/>
    </w:rPr>
  </w:style>
  <w:style w:type="paragraph" w:styleId="892">
    <w:name w:val="List Paragraph"/>
    <w:basedOn w:val="835"/>
    <w:uiPriority w:val="34"/>
    <w:qFormat/>
    <w:pPr>
      <w:contextualSpacing/>
      <w:ind w:left="720"/>
    </w:pPr>
  </w:style>
  <w:style w:type="paragraph" w:styleId="893">
    <w:name w:val="No Spacing"/>
    <w:uiPriority w:val="1"/>
    <w:qFormat/>
    <w:rPr>
      <w:rFonts w:ascii="Times New Roman" w:hAnsi="Times New Roman" w:eastAsia="宋体" w:cs="Times New Roman"/>
      <w:lang w:val="en-US" w:eastAsia="zh-CN" w:bidi="ar-SA"/>
    </w:rPr>
  </w:style>
  <w:style w:type="character" w:styleId="894" w:customStyle="1">
    <w:name w:val="标题 字符"/>
    <w:link w:val="870"/>
    <w:uiPriority w:val="10"/>
    <w:qFormat/>
    <w:rPr>
      <w:sz w:val="48"/>
      <w:szCs w:val="48"/>
    </w:rPr>
  </w:style>
  <w:style w:type="character" w:styleId="895" w:customStyle="1">
    <w:name w:val="副标题 字符"/>
    <w:link w:val="863"/>
    <w:uiPriority w:val="11"/>
    <w:qFormat/>
    <w:rPr>
      <w:sz w:val="24"/>
      <w:szCs w:val="24"/>
    </w:rPr>
  </w:style>
  <w:style w:type="paragraph" w:styleId="896">
    <w:name w:val="Quote"/>
    <w:basedOn w:val="835"/>
    <w:next w:val="835"/>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835"/>
    <w:next w:val="835"/>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页眉 字符"/>
    <w:link w:val="860"/>
    <w:uiPriority w:val="99"/>
    <w:qFormat/>
  </w:style>
  <w:style w:type="character" w:styleId="901" w:customStyle="1">
    <w:name w:val="Footer Char"/>
    <w:uiPriority w:val="99"/>
    <w:qFormat/>
  </w:style>
  <w:style w:type="character" w:styleId="902" w:customStyle="1">
    <w:name w:val="页脚 字符"/>
    <w:link w:val="859"/>
    <w:uiPriority w:val="99"/>
    <w:qFormat/>
  </w:style>
  <w:style w:type="table" w:styleId="9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6" w:customStyle="1">
    <w:name w:val="无格式表格 31"/>
    <w:uiPriority w:val="99"/>
    <w:qFormat/>
    <w:tblPr>
      <w:tblCellMar>
        <w:left w:w="0" w:type="dxa"/>
        <w:top w:w="0" w:type="dxa"/>
        <w:right w:w="0" w:type="dxa"/>
        <w:bottom w:w="0" w:type="dxa"/>
      </w:tblCellMar>
    </w:tblPr>
  </w:style>
  <w:style w:type="table" w:styleId="907" w:customStyle="1">
    <w:name w:val="无格式表格 41"/>
    <w:uiPriority w:val="99"/>
    <w:qFormat/>
    <w:tblPr>
      <w:tblCellMar>
        <w:left w:w="0" w:type="dxa"/>
        <w:top w:w="0" w:type="dxa"/>
        <w:right w:w="0" w:type="dxa"/>
        <w:bottom w:w="0" w:type="dxa"/>
      </w:tblCellMar>
    </w:tblPr>
  </w:style>
  <w:style w:type="table" w:styleId="908" w:customStyle="1">
    <w:name w:val="无格式表格 51"/>
    <w:uiPriority w:val="99"/>
    <w:qFormat/>
    <w:tblPr>
      <w:tblCellMar>
        <w:left w:w="0" w:type="dxa"/>
        <w:top w:w="0" w:type="dxa"/>
        <w:right w:w="0" w:type="dxa"/>
        <w:bottom w:w="0" w:type="dxa"/>
      </w:tblCellMar>
    </w:tblPr>
  </w:style>
  <w:style w:type="table" w:styleId="90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8" w:customStyle="1">
    <w:name w:val="清单表 1 浅色1"/>
    <w:uiPriority w:val="99"/>
    <w:qFormat/>
    <w:tblPr>
      <w:tblCellMar>
        <w:left w:w="0" w:type="dxa"/>
        <w:top w:w="0" w:type="dxa"/>
        <w:right w:w="0" w:type="dxa"/>
        <w:bottom w:w="0" w:type="dxa"/>
      </w:tblCellMar>
    </w:tblPr>
  </w:style>
  <w:style w:type="table" w:styleId="959" w:customStyle="1">
    <w:name w:val="List Table 1 Light - Accent 1"/>
    <w:uiPriority w:val="99"/>
    <w:qFormat/>
    <w:tblPr>
      <w:tblCellMar>
        <w:left w:w="0" w:type="dxa"/>
        <w:top w:w="0" w:type="dxa"/>
        <w:right w:w="0" w:type="dxa"/>
        <w:bottom w:w="0" w:type="dxa"/>
      </w:tblCellMar>
    </w:tblPr>
  </w:style>
  <w:style w:type="table" w:styleId="960" w:customStyle="1">
    <w:name w:val="List Table 1 Light - Accent 2"/>
    <w:uiPriority w:val="99"/>
    <w:qFormat/>
    <w:tblPr>
      <w:tblCellMar>
        <w:left w:w="0" w:type="dxa"/>
        <w:top w:w="0" w:type="dxa"/>
        <w:right w:w="0" w:type="dxa"/>
        <w:bottom w:w="0" w:type="dxa"/>
      </w:tblCellMar>
    </w:tblPr>
  </w:style>
  <w:style w:type="table" w:styleId="961" w:customStyle="1">
    <w:name w:val="List Table 1 Light - Accent 3"/>
    <w:uiPriority w:val="99"/>
    <w:qFormat/>
    <w:tblPr>
      <w:tblCellMar>
        <w:left w:w="0" w:type="dxa"/>
        <w:top w:w="0" w:type="dxa"/>
        <w:right w:w="0" w:type="dxa"/>
        <w:bottom w:w="0" w:type="dxa"/>
      </w:tblCellMar>
    </w:tblPr>
  </w:style>
  <w:style w:type="table" w:styleId="962" w:customStyle="1">
    <w:name w:val="List Table 1 Light - Accent 4"/>
    <w:uiPriority w:val="99"/>
    <w:qFormat/>
    <w:tblPr>
      <w:tblCellMar>
        <w:left w:w="0" w:type="dxa"/>
        <w:top w:w="0" w:type="dxa"/>
        <w:right w:w="0" w:type="dxa"/>
        <w:bottom w:w="0" w:type="dxa"/>
      </w:tblCellMar>
    </w:tblPr>
  </w:style>
  <w:style w:type="table" w:styleId="963" w:customStyle="1">
    <w:name w:val="List Table 1 Light - Accent 5"/>
    <w:uiPriority w:val="99"/>
    <w:qFormat/>
    <w:tblPr>
      <w:tblCellMar>
        <w:left w:w="0" w:type="dxa"/>
        <w:top w:w="0" w:type="dxa"/>
        <w:right w:w="0" w:type="dxa"/>
        <w:bottom w:w="0" w:type="dxa"/>
      </w:tblCellMar>
    </w:tblPr>
  </w:style>
  <w:style w:type="table" w:styleId="964" w:customStyle="1">
    <w:name w:val="List Table 1 Light - Accent 6"/>
    <w:uiPriority w:val="99"/>
    <w:qFormat/>
    <w:tblPr>
      <w:tblCellMar>
        <w:left w:w="0" w:type="dxa"/>
        <w:top w:w="0" w:type="dxa"/>
        <w:right w:w="0" w:type="dxa"/>
        <w:bottom w:w="0" w:type="dxa"/>
      </w:tblCellMar>
    </w:tblPr>
  </w:style>
  <w:style w:type="table" w:styleId="96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7" w:customStyle="1">
    <w:name w:val="Lined - Accent"/>
    <w:uiPriority w:val="99"/>
    <w:qFormat/>
    <w:rPr>
      <w:color w:val="404040"/>
    </w:rPr>
    <w:tblPr>
      <w:tblCellMar>
        <w:left w:w="0" w:type="dxa"/>
        <w:top w:w="0" w:type="dxa"/>
        <w:right w:w="0" w:type="dxa"/>
        <w:bottom w:w="0" w:type="dxa"/>
      </w:tblCellMar>
    </w:tblPr>
  </w:style>
  <w:style w:type="table" w:styleId="1008" w:customStyle="1">
    <w:name w:val="Lined - Accent 1"/>
    <w:uiPriority w:val="99"/>
    <w:qFormat/>
    <w:rPr>
      <w:color w:val="404040"/>
    </w:rPr>
    <w:tblPr>
      <w:tblCellMar>
        <w:left w:w="0" w:type="dxa"/>
        <w:top w:w="0" w:type="dxa"/>
        <w:right w:w="0" w:type="dxa"/>
        <w:bottom w:w="0" w:type="dxa"/>
      </w:tblCellMar>
    </w:tblPr>
  </w:style>
  <w:style w:type="table" w:styleId="1009" w:customStyle="1">
    <w:name w:val="Lined - Accent 2"/>
    <w:uiPriority w:val="99"/>
    <w:qFormat/>
    <w:rPr>
      <w:color w:val="404040"/>
    </w:rPr>
    <w:tblPr>
      <w:tblCellMar>
        <w:left w:w="0" w:type="dxa"/>
        <w:top w:w="0" w:type="dxa"/>
        <w:right w:w="0" w:type="dxa"/>
        <w:bottom w:w="0" w:type="dxa"/>
      </w:tblCellMar>
    </w:tblPr>
  </w:style>
  <w:style w:type="table" w:styleId="1010" w:customStyle="1">
    <w:name w:val="Lined - Accent 3"/>
    <w:uiPriority w:val="99"/>
    <w:qFormat/>
    <w:rPr>
      <w:color w:val="404040"/>
    </w:rPr>
    <w:tblPr>
      <w:tblCellMar>
        <w:left w:w="0" w:type="dxa"/>
        <w:top w:w="0" w:type="dxa"/>
        <w:right w:w="0" w:type="dxa"/>
        <w:bottom w:w="0" w:type="dxa"/>
      </w:tblCellMar>
    </w:tblPr>
  </w:style>
  <w:style w:type="table" w:styleId="1011" w:customStyle="1">
    <w:name w:val="Lined - Accent 4"/>
    <w:uiPriority w:val="99"/>
    <w:qFormat/>
    <w:rPr>
      <w:color w:val="404040"/>
    </w:rPr>
    <w:tblPr>
      <w:tblCellMar>
        <w:left w:w="0" w:type="dxa"/>
        <w:top w:w="0" w:type="dxa"/>
        <w:right w:w="0" w:type="dxa"/>
        <w:bottom w:w="0" w:type="dxa"/>
      </w:tblCellMar>
    </w:tblPr>
  </w:style>
  <w:style w:type="table" w:styleId="1012" w:customStyle="1">
    <w:name w:val="Lined - Accent 5"/>
    <w:uiPriority w:val="99"/>
    <w:qFormat/>
    <w:rPr>
      <w:color w:val="404040"/>
    </w:rPr>
    <w:tblPr>
      <w:tblCellMar>
        <w:left w:w="0" w:type="dxa"/>
        <w:top w:w="0" w:type="dxa"/>
        <w:right w:w="0" w:type="dxa"/>
        <w:bottom w:w="0" w:type="dxa"/>
      </w:tblCellMar>
    </w:tblPr>
  </w:style>
  <w:style w:type="table" w:styleId="1013" w:customStyle="1">
    <w:name w:val="Lined - Accent 6"/>
    <w:uiPriority w:val="99"/>
    <w:qFormat/>
    <w:rPr>
      <w:color w:val="404040"/>
    </w:rPr>
    <w:tblPr>
      <w:tblCellMar>
        <w:left w:w="0" w:type="dxa"/>
        <w:top w:w="0" w:type="dxa"/>
        <w:right w:w="0" w:type="dxa"/>
        <w:bottom w:w="0" w:type="dxa"/>
      </w:tblCellMar>
    </w:tblPr>
  </w:style>
  <w:style w:type="table" w:styleId="10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8" w:customStyle="1">
    <w:name w:val="脚注文本 字符"/>
    <w:link w:val="864"/>
    <w:uiPriority w:val="99"/>
    <w:qFormat/>
    <w:rPr>
      <w:sz w:val="18"/>
    </w:rPr>
  </w:style>
  <w:style w:type="character" w:styleId="1029" w:customStyle="1">
    <w:name w:val="尾注文本 字符"/>
    <w:link w:val="858"/>
    <w:uiPriority w:val="99"/>
    <w:qFormat/>
    <w:rPr>
      <w:sz w:val="20"/>
    </w:rPr>
  </w:style>
  <w:style w:type="paragraph" w:styleId="1030" w:customStyle="1">
    <w:name w:val="TOC 标题1"/>
    <w:uiPriority w:val="39"/>
    <w:unhideWhenUsed/>
    <w:qFormat/>
    <w:rPr>
      <w:rFonts w:ascii="Times New Roman" w:hAnsi="Times New Roman" w:eastAsia="宋体" w:cs="Times New Roman"/>
      <w:lang w:val="en-US" w:eastAsia="zh-CN" w:bidi="ar-SA"/>
    </w:rPr>
  </w:style>
  <w:style w:type="paragraph" w:styleId="1031" w:customStyle="1">
    <w:name w:val="标题 11"/>
    <w:basedOn w:val="835"/>
    <w:next w:val="835"/>
    <w:uiPriority w:val="0"/>
    <w:qFormat/>
    <w:pPr>
      <w:keepNext/>
      <w:outlineLvl w:val="0"/>
    </w:pPr>
    <w:rPr>
      <w:rFonts w:ascii="楷体_GB2312" w:hAnsi="Times New Roman" w:eastAsia="楷体_GB2312"/>
      <w:sz w:val="28"/>
      <w:szCs w:val="20"/>
    </w:rPr>
  </w:style>
  <w:style w:type="paragraph" w:styleId="1032" w:customStyle="1">
    <w:name w:val="标题 21"/>
    <w:basedOn w:val="835"/>
    <w:next w:val="1033"/>
    <w:uiPriority w:val="0"/>
    <w:qFormat/>
    <w:pPr>
      <w:jc w:val="center"/>
      <w:keepLines/>
      <w:keepNext/>
      <w:spacing w:before="260" w:after="260" w:line="416" w:lineRule="auto"/>
      <w:outlineLvl w:val="1"/>
    </w:pPr>
    <w:rPr>
      <w:rFonts w:ascii="Arial" w:hAnsi="Arial" w:eastAsia="幼圆"/>
      <w:b/>
      <w:sz w:val="44"/>
      <w:szCs w:val="20"/>
    </w:rPr>
  </w:style>
  <w:style w:type="paragraph" w:styleId="1033" w:customStyle="1">
    <w:name w:val="正文缩进1"/>
    <w:basedOn w:val="835"/>
    <w:uiPriority w:val="0"/>
    <w:qFormat/>
    <w:pPr>
      <w:ind w:firstLine="420"/>
    </w:pPr>
  </w:style>
  <w:style w:type="paragraph" w:styleId="1034" w:customStyle="1">
    <w:name w:val="标题 311"/>
    <w:basedOn w:val="835"/>
    <w:next w:val="835"/>
    <w:uiPriority w:val="99"/>
    <w:qFormat/>
    <w:pPr>
      <w:jc w:val="center"/>
      <w:keepNext/>
      <w:outlineLvl w:val="2"/>
    </w:pPr>
    <w:rPr>
      <w:rFonts w:ascii="Times New Roman" w:hAnsi="Times New Roman" w:eastAsia="楷体_GB2312"/>
      <w:b/>
      <w:bCs/>
      <w:sz w:val="15"/>
      <w:szCs w:val="20"/>
    </w:rPr>
  </w:style>
  <w:style w:type="character" w:styleId="1035" w:customStyle="1">
    <w:name w:val="默认段落字体1"/>
    <w:uiPriority w:val="1"/>
    <w:unhideWhenUsed/>
    <w:qFormat/>
  </w:style>
  <w:style w:type="table" w:styleId="1036" w:customStyle="1">
    <w:name w:val="普通表格1"/>
    <w:uiPriority w:val="99"/>
    <w:unhideWhenUsed/>
    <w:qFormat/>
    <w:tblPr>
      <w:tblCellMar>
        <w:left w:w="0" w:type="dxa"/>
        <w:top w:w="0" w:type="dxa"/>
        <w:right w:w="0" w:type="dxa"/>
        <w:bottom w:w="0" w:type="dxa"/>
      </w:tblCellMar>
    </w:tblPr>
  </w:style>
  <w:style w:type="paragraph" w:styleId="1037" w:customStyle="1">
    <w:name w:val="正文文本11"/>
    <w:basedOn w:val="835"/>
    <w:next w:val="1038"/>
    <w:uiPriority w:val="0"/>
    <w:qFormat/>
    <w:rPr>
      <w:rFonts w:ascii="楷体_GB2312" w:hAnsi="Arial" w:eastAsia="楷体_GB2312"/>
      <w:sz w:val="28"/>
      <w:szCs w:val="20"/>
    </w:rPr>
  </w:style>
  <w:style w:type="paragraph" w:styleId="1038" w:customStyle="1">
    <w:name w:val="style4"/>
    <w:basedOn w:val="835"/>
    <w:next w:val="1039"/>
    <w:uiPriority w:val="99"/>
    <w:qFormat/>
    <w:pPr>
      <w:spacing w:before="280" w:after="280"/>
    </w:pPr>
    <w:rPr>
      <w:rFonts w:ascii="宋体"/>
      <w:sz w:val="18"/>
    </w:rPr>
  </w:style>
  <w:style w:type="paragraph" w:styleId="1039" w:customStyle="1">
    <w:name w:val="2"/>
    <w:basedOn w:val="835"/>
    <w:next w:val="835"/>
    <w:uiPriority w:val="0"/>
    <w:qFormat/>
    <w:pPr>
      <w:ind w:left="1134" w:hanging="227"/>
      <w:spacing w:line="420" w:lineRule="atLeast"/>
    </w:pPr>
    <w:rPr>
      <w:rFonts w:ascii="Times New Roman" w:hAnsi="Times New Roman"/>
      <w:szCs w:val="20"/>
    </w:rPr>
  </w:style>
  <w:style w:type="paragraph" w:styleId="1040" w:customStyle="1">
    <w:name w:val="正文缩进12"/>
    <w:basedOn w:val="835"/>
    <w:uiPriority w:val="0"/>
    <w:qFormat/>
    <w:pPr>
      <w:ind w:firstLine="420"/>
    </w:pPr>
    <w:rPr>
      <w:rFonts w:ascii="Times New Roman" w:hAnsi="Times New Roman"/>
      <w:szCs w:val="20"/>
    </w:rPr>
  </w:style>
  <w:style w:type="paragraph" w:styleId="1041" w:customStyle="1">
    <w:name w:val="注释标题1"/>
    <w:basedOn w:val="835"/>
    <w:next w:val="835"/>
    <w:uiPriority w:val="99"/>
    <w:qFormat/>
    <w:rPr>
      <w:rFonts w:ascii="Verdana" w:hAnsi="Verdana"/>
      <w:szCs w:val="20"/>
    </w:rPr>
  </w:style>
  <w:style w:type="paragraph" w:styleId="1042" w:customStyle="1">
    <w:name w:val="批注文字11"/>
    <w:basedOn w:val="835"/>
    <w:link w:val="1043"/>
    <w:uiPriority w:val="0"/>
    <w:qFormat/>
    <w:pPr>
      <w:jc w:val="left"/>
    </w:pPr>
  </w:style>
  <w:style w:type="character" w:styleId="1043" w:customStyle="1">
    <w:name w:val="批注文字 字符"/>
    <w:link w:val="1042"/>
    <w:uiPriority w:val="0"/>
    <w:qFormat/>
    <w:rPr>
      <w:rFonts w:ascii="Calibri" w:hAnsi="Calibri"/>
      <w:sz w:val="21"/>
      <w:szCs w:val="24"/>
    </w:rPr>
  </w:style>
  <w:style w:type="paragraph" w:styleId="1044" w:customStyle="1">
    <w:name w:val="称呼1"/>
    <w:basedOn w:val="835"/>
    <w:next w:val="835"/>
    <w:uiPriority w:val="0"/>
    <w:qFormat/>
    <w:rPr>
      <w:rFonts w:ascii="楷体_GB2312" w:eastAsia="楷体_GB2312"/>
      <w:sz w:val="28"/>
    </w:rPr>
  </w:style>
  <w:style w:type="paragraph" w:styleId="1045" w:customStyle="1">
    <w:name w:val="正文文本缩进11"/>
    <w:basedOn w:val="835"/>
    <w:uiPriority w:val="0"/>
    <w:qFormat/>
    <w:pPr>
      <w:ind w:firstLine="645"/>
    </w:pPr>
    <w:rPr>
      <w:rFonts w:ascii="楷体_GB2312" w:hAnsi="Times New Roman" w:eastAsia="楷体_GB2312"/>
      <w:sz w:val="32"/>
      <w:szCs w:val="20"/>
    </w:rPr>
  </w:style>
  <w:style w:type="paragraph" w:styleId="1046" w:customStyle="1">
    <w:name w:val="文本块1"/>
    <w:basedOn w:val="835"/>
    <w:uiPriority w:val="99"/>
    <w:unhideWhenUsed/>
    <w:qFormat/>
    <w:rPr>
      <w:rFonts w:eastAsia="微软雅黑"/>
    </w:rPr>
  </w:style>
  <w:style w:type="paragraph" w:styleId="1047" w:customStyle="1">
    <w:name w:val="索引 41"/>
    <w:basedOn w:val="835"/>
    <w:next w:val="835"/>
    <w:uiPriority w:val="0"/>
    <w:qFormat/>
    <w:pPr>
      <w:ind w:left="1260"/>
    </w:pPr>
  </w:style>
  <w:style w:type="paragraph" w:styleId="1048" w:customStyle="1">
    <w:name w:val="纯文本11"/>
    <w:basedOn w:val="835"/>
    <w:uiPriority w:val="99"/>
    <w:qFormat/>
    <w:rPr>
      <w:rFonts w:ascii="宋体" w:hAnsi="Courier New"/>
      <w:szCs w:val="20"/>
    </w:rPr>
  </w:style>
  <w:style w:type="paragraph" w:styleId="1049" w:customStyle="1">
    <w:name w:val="页脚1"/>
    <w:basedOn w:val="835"/>
    <w:uiPriority w:val="0"/>
    <w:qFormat/>
    <w:pPr>
      <w:jc w:val="left"/>
      <w:tabs>
        <w:tab w:val="center" w:pos="4153" w:leader="none"/>
        <w:tab w:val="right" w:pos="8306" w:leader="none"/>
      </w:tabs>
    </w:pPr>
    <w:rPr>
      <w:rFonts w:ascii="Times New Roman" w:hAnsi="Times New Roman"/>
      <w:sz w:val="18"/>
      <w:szCs w:val="20"/>
    </w:rPr>
  </w:style>
  <w:style w:type="paragraph" w:styleId="1050" w:customStyle="1">
    <w:name w:val="寄信人地址1"/>
    <w:basedOn w:val="835"/>
    <w:uiPriority w:val="99"/>
    <w:unhideWhenUsed/>
    <w:qFormat/>
    <w:rPr>
      <w:rFonts w:ascii="Arial" w:hAnsi="Arial"/>
    </w:rPr>
  </w:style>
  <w:style w:type="paragraph" w:styleId="1051" w:customStyle="1">
    <w:name w:val="页眉1"/>
    <w:basedOn w:val="83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52" w:customStyle="1">
    <w:name w:val="目录 11"/>
    <w:basedOn w:val="835"/>
    <w:next w:val="835"/>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53" w:customStyle="1">
    <w:name w:val="列表1"/>
    <w:basedOn w:val="835"/>
    <w:uiPriority w:val="99"/>
    <w:qFormat/>
    <w:pPr>
      <w:ind w:left="200" w:hanging="200"/>
    </w:pPr>
    <w:rPr>
      <w:szCs w:val="21"/>
    </w:rPr>
  </w:style>
  <w:style w:type="paragraph" w:styleId="1054" w:customStyle="1">
    <w:name w:val="普通(网站)1"/>
    <w:basedOn w:val="835"/>
    <w:uiPriority w:val="99"/>
    <w:qFormat/>
    <w:pPr>
      <w:jc w:val="left"/>
      <w:spacing w:before="100" w:beforeAutospacing="1" w:after="100" w:afterAutospacing="1"/>
      <w:widowControl/>
    </w:pPr>
    <w:rPr>
      <w:rFonts w:ascii="宋体" w:hAnsi="宋体" w:cs="宋体"/>
      <w:sz w:val="24"/>
    </w:rPr>
  </w:style>
  <w:style w:type="paragraph" w:styleId="1055" w:customStyle="1">
    <w:name w:val="批注主题11"/>
    <w:basedOn w:val="1042"/>
    <w:next w:val="1042"/>
    <w:link w:val="1056"/>
    <w:uiPriority w:val="0"/>
    <w:qFormat/>
    <w:rPr>
      <w:b/>
      <w:bCs/>
    </w:rPr>
  </w:style>
  <w:style w:type="character" w:styleId="1056" w:customStyle="1">
    <w:name w:val="批注主题 字符"/>
    <w:link w:val="1055"/>
    <w:uiPriority w:val="0"/>
    <w:qFormat/>
    <w:rPr>
      <w:rFonts w:ascii="Calibri" w:hAnsi="Calibri"/>
      <w:b/>
      <w:bCs/>
      <w:sz w:val="21"/>
      <w:szCs w:val="24"/>
    </w:rPr>
  </w:style>
  <w:style w:type="paragraph" w:styleId="1057" w:customStyle="1">
    <w:name w:val="正文首行缩进11"/>
    <w:basedOn w:val="1037"/>
    <w:uiPriority w:val="0"/>
    <w:unhideWhenUsed/>
    <w:qFormat/>
    <w:pPr>
      <w:ind w:firstLine="420"/>
      <w:spacing w:after="120"/>
    </w:pPr>
  </w:style>
  <w:style w:type="paragraph" w:styleId="1058" w:customStyle="1">
    <w:name w:val="正文首行缩进 211"/>
    <w:basedOn w:val="1045"/>
    <w:uiPriority w:val="0"/>
    <w:unhideWhenUsed/>
    <w:qFormat/>
    <w:pPr>
      <w:spacing w:after="120"/>
    </w:pPr>
  </w:style>
  <w:style w:type="table" w:styleId="1059" w:customStyle="1">
    <w:name w:val="网格型1"/>
    <w:basedOn w:val="1036"/>
    <w:uiPriority w:val="0"/>
    <w:qFormat/>
    <w:pPr>
      <w:jc w:val="both"/>
      <w:widowControl w:val="off"/>
    </w:pPr>
    <w:tblPr/>
  </w:style>
  <w:style w:type="character" w:styleId="1060" w:customStyle="1">
    <w:name w:val="要点1"/>
    <w:uiPriority w:val="0"/>
    <w:qFormat/>
    <w:rPr>
      <w:b/>
    </w:rPr>
  </w:style>
  <w:style w:type="character" w:styleId="1061" w:customStyle="1">
    <w:name w:val="页码1"/>
    <w:uiPriority w:val="0"/>
    <w:qFormat/>
    <w:rPr>
      <w:rFonts w:ascii="Times New Roman" w:hAnsi="Times New Roman" w:eastAsia="宋体" w:cs="Times New Roman"/>
    </w:rPr>
  </w:style>
  <w:style w:type="character" w:styleId="1062" w:customStyle="1">
    <w:name w:val="已访问的超链接1"/>
    <w:uiPriority w:val="0"/>
    <w:qFormat/>
    <w:rPr>
      <w:rFonts w:hint="eastAsia" w:ascii="微软雅黑" w:hAnsi="微软雅黑" w:eastAsia="微软雅黑" w:cs="微软雅黑"/>
      <w:color w:val="02396f"/>
      <w:u w:val="single"/>
    </w:rPr>
  </w:style>
  <w:style w:type="character" w:styleId="1063" w:customStyle="1">
    <w:name w:val="超链接11"/>
    <w:uiPriority w:val="99"/>
    <w:qFormat/>
    <w:rPr>
      <w:rFonts w:ascii="Times New Roman" w:hAnsi="Times New Roman" w:eastAsia="宋体" w:cs="Times New Roman"/>
      <w:color w:val="0000ff"/>
      <w:u w:val="single"/>
    </w:rPr>
  </w:style>
  <w:style w:type="character" w:styleId="1064" w:customStyle="1">
    <w:name w:val="批注引用1"/>
    <w:uiPriority w:val="0"/>
    <w:qFormat/>
    <w:rPr>
      <w:sz w:val="21"/>
      <w:szCs w:val="21"/>
    </w:rPr>
  </w:style>
  <w:style w:type="character" w:styleId="1065" w:customStyle="1">
    <w:name w:val="超链接1"/>
    <w:uiPriority w:val="0"/>
    <w:qFormat/>
    <w:rPr>
      <w:rFonts w:ascii="Calibri" w:hAnsi="Calibri"/>
      <w:sz w:val="21"/>
      <w:szCs w:val="24"/>
      <w:lang w:val="en-US" w:eastAsia="zh-CN" w:bidi="ar-SA"/>
    </w:rPr>
  </w:style>
  <w:style w:type="paragraph" w:styleId="1066" w:customStyle="1">
    <w:name w:val="正文首行缩进 21"/>
    <w:basedOn w:val="1067"/>
    <w:uiPriority w:val="0"/>
    <w:qFormat/>
    <w:pPr>
      <w:ind w:firstLine="420"/>
      <w:jc w:val="left"/>
      <w:tabs>
        <w:tab w:val="left" w:pos="0" w:leader="none"/>
        <w:tab w:val="left" w:pos="993" w:leader="none"/>
        <w:tab w:val="left" w:pos="1134" w:leader="none"/>
      </w:tabs>
    </w:pPr>
    <w:rPr>
      <w:sz w:val="24"/>
    </w:rPr>
  </w:style>
  <w:style w:type="paragraph" w:styleId="1067" w:customStyle="1">
    <w:name w:val="正文文本缩进1"/>
    <w:basedOn w:val="835"/>
    <w:uiPriority w:val="99"/>
    <w:unhideWhenUsed/>
    <w:qFormat/>
    <w:pPr>
      <w:ind w:left="420"/>
      <w:spacing w:after="120"/>
    </w:pPr>
  </w:style>
  <w:style w:type="paragraph" w:styleId="1068" w:customStyle="1">
    <w:name w:val="普通正文"/>
    <w:basedOn w:val="835"/>
    <w:uiPriority w:val="0"/>
    <w:qFormat/>
    <w:pPr>
      <w:ind w:firstLine="480"/>
      <w:jc w:val="left"/>
      <w:spacing w:before="120" w:after="120" w:line="360" w:lineRule="auto"/>
    </w:pPr>
    <w:rPr>
      <w:rFonts w:ascii="Arial" w:hAnsi="Arial"/>
      <w:sz w:val="24"/>
    </w:rPr>
  </w:style>
  <w:style w:type="paragraph" w:styleId="1069" w:customStyle="1">
    <w:name w:val="TOC 标题11"/>
    <w:basedOn w:val="1031"/>
    <w:next w:val="83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70" w:customStyle="1">
    <w:name w:val="列出段落1"/>
    <w:basedOn w:val="835"/>
    <w:uiPriority w:val="0"/>
    <w:qFormat/>
    <w:pPr>
      <w:contextualSpacing/>
      <w:ind w:left="720"/>
      <w:jc w:val="left"/>
      <w:widowControl/>
    </w:pPr>
    <w:rPr>
      <w:sz w:val="24"/>
      <w:lang w:eastAsia="en-US" w:bidi="en-US"/>
    </w:rPr>
  </w:style>
  <w:style w:type="paragraph" w:styleId="1071" w:customStyle="1">
    <w:name w:val="列表段落1"/>
    <w:basedOn w:val="835"/>
    <w:uiPriority w:val="34"/>
    <w:qFormat/>
    <w:pPr>
      <w:ind w:firstLine="420"/>
    </w:pPr>
    <w:rPr>
      <w:szCs w:val="22"/>
    </w:rPr>
  </w:style>
  <w:style w:type="paragraph" w:styleId="1072" w:customStyle="1">
    <w:name w:val="正文文本首行缩进1"/>
    <w:next w:val="1073"/>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73" w:customStyle="1">
    <w:name w:val="正文缩进11"/>
    <w:next w:val="835"/>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074"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75" w:customStyle="1">
    <w:name w:val="Table Paragraph"/>
    <w:basedOn w:val="835"/>
    <w:uiPriority w:val="1"/>
    <w:qFormat/>
    <w:pPr>
      <w:jc w:val="left"/>
      <w:widowControl/>
    </w:pPr>
    <w:rPr>
      <w:sz w:val="22"/>
      <w:szCs w:val="20"/>
      <w:lang w:eastAsia="en-US"/>
    </w:rPr>
  </w:style>
  <w:style w:type="paragraph" w:styleId="1076" w:customStyle="1">
    <w:name w:val="Body text|1"/>
    <w:basedOn w:val="835"/>
    <w:uiPriority w:val="0"/>
    <w:qFormat/>
    <w:pPr>
      <w:ind w:firstLine="400"/>
      <w:spacing w:line="391" w:lineRule="auto"/>
    </w:pPr>
    <w:rPr>
      <w:rFonts w:ascii="宋体" w:hAnsi="宋体" w:cs="宋体"/>
      <w:sz w:val="26"/>
      <w:szCs w:val="26"/>
      <w:lang w:val="zh-TW" w:eastAsia="zh-TW" w:bidi="zh-TW"/>
    </w:rPr>
  </w:style>
  <w:style w:type="paragraph" w:styleId="1077" w:customStyle="1">
    <w:name w:val="Char"/>
    <w:basedOn w:val="835"/>
    <w:uiPriority w:val="0"/>
    <w:qFormat/>
    <w:pPr>
      <w:tabs>
        <w:tab w:val="left" w:pos="360" w:leader="none"/>
      </w:tabs>
    </w:pPr>
    <w:rPr>
      <w:rFonts w:ascii="Times New Roman" w:hAnsi="Times New Roman"/>
      <w:sz w:val="24"/>
    </w:rPr>
  </w:style>
  <w:style w:type="paragraph" w:styleId="1078" w:customStyle="1">
    <w:name w:val="简单回函地址"/>
    <w:basedOn w:val="835"/>
    <w:uiPriority w:val="0"/>
    <w:qFormat/>
    <w:rPr>
      <w:rFonts w:ascii="Times New Roman" w:hAnsi="Times New Roman" w:cs="宋体"/>
      <w:szCs w:val="21"/>
    </w:rPr>
  </w:style>
  <w:style w:type="character" w:styleId="1079" w:customStyle="1">
    <w:name w:val="font51"/>
    <w:uiPriority w:val="0"/>
    <w:qFormat/>
    <w:rPr>
      <w:rFonts w:hint="eastAsia" w:ascii="宋体" w:hAnsi="宋体" w:eastAsia="宋体" w:cs="宋体"/>
      <w:b/>
      <w:bCs/>
      <w:color w:val="ff0000"/>
      <w:sz w:val="28"/>
      <w:szCs w:val="28"/>
      <w:u w:val="none"/>
    </w:rPr>
  </w:style>
  <w:style w:type="paragraph" w:styleId="1080" w:customStyle="1">
    <w:name w:val="修订1"/>
    <w:uiPriority w:val="99"/>
    <w:unhideWhenUsed/>
    <w:qFormat/>
    <w:rPr>
      <w:rFonts w:ascii="Calibri" w:hAnsi="Calibri" w:eastAsia="宋体" w:cs="Times New Roman"/>
      <w:sz w:val="21"/>
      <w:szCs w:val="24"/>
      <w:lang w:val="en-US" w:eastAsia="zh-CN" w:bidi="ar-SA"/>
    </w:rPr>
  </w:style>
  <w:style w:type="paragraph" w:styleId="1081" w:customStyle="1">
    <w:name w:val="修订2"/>
    <w:uiPriority w:val="99"/>
    <w:unhideWhenUsed/>
    <w:qFormat/>
    <w:rPr>
      <w:rFonts w:ascii="Calibri" w:hAnsi="Calibri" w:eastAsia="宋体" w:cs="Times New Roman"/>
      <w:sz w:val="21"/>
      <w:szCs w:val="24"/>
      <w:lang w:val="en-US" w:eastAsia="zh-CN" w:bidi="ar-SA"/>
    </w:rPr>
  </w:style>
  <w:style w:type="paragraph" w:styleId="1082" w:customStyle="1">
    <w:name w:val="WPSOffice手动目录 1"/>
    <w:uiPriority w:val="0"/>
    <w:qFormat/>
    <w:rPr>
      <w:rFonts w:ascii="Times New Roman" w:hAnsi="Times New Roman" w:eastAsia="宋体" w:cs="Times New Roman"/>
      <w:lang w:val="en-US" w:eastAsia="zh-CN" w:bidi="ar-SA"/>
    </w:rPr>
  </w:style>
  <w:style w:type="paragraph" w:styleId="1083" w:customStyle="1">
    <w:name w:val="正文首行缩进1"/>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84" w:customStyle="1">
    <w:name w:val="*正文"/>
    <w:basedOn w:val="835"/>
    <w:uiPriority w:val="0"/>
    <w:qFormat/>
    <w:pPr>
      <w:ind w:firstLine="200"/>
      <w:spacing w:line="360" w:lineRule="auto"/>
    </w:pPr>
    <w:rPr>
      <w:rFonts w:ascii="宋体" w:hAnsi="宋体"/>
      <w:sz w:val="22"/>
    </w:rPr>
  </w:style>
  <w:style w:type="character" w:styleId="1085" w:customStyle="1">
    <w:name w:val="font11"/>
    <w:uiPriority w:val="0"/>
    <w:qFormat/>
    <w:rPr>
      <w:rFonts w:hint="eastAsia" w:ascii="宋体" w:hAnsi="宋体" w:eastAsia="宋体" w:cs="宋体"/>
      <w:color w:val="000000"/>
      <w:sz w:val="20"/>
      <w:szCs w:val="20"/>
      <w:u w:val="none"/>
    </w:rPr>
  </w:style>
  <w:style w:type="character" w:styleId="1086" w:customStyle="1">
    <w:name w:val="font01"/>
    <w:uiPriority w:val="0"/>
    <w:qFormat/>
    <w:rPr>
      <w:rFonts w:ascii="Arial" w:hAnsi="Arial" w:cs="Arial"/>
      <w:color w:val="000000"/>
      <w:sz w:val="20"/>
      <w:szCs w:val="20"/>
      <w:u w:val="none"/>
    </w:rPr>
  </w:style>
  <w:style w:type="character" w:styleId="1087" w:customStyle="1">
    <w:name w:val="redfilenumber"/>
    <w:uiPriority w:val="0"/>
    <w:qFormat/>
    <w:rPr>
      <w:color w:val="ba2636"/>
      <w:sz w:val="18"/>
      <w:szCs w:val="18"/>
    </w:rPr>
  </w:style>
  <w:style w:type="character" w:styleId="1088" w:customStyle="1">
    <w:name w:val="gjfg"/>
    <w:uiPriority w:val="0"/>
    <w:qFormat/>
  </w:style>
  <w:style w:type="character" w:styleId="1089" w:customStyle="1">
    <w:name w:val="qxdate"/>
    <w:uiPriority w:val="0"/>
    <w:qFormat/>
    <w:rPr>
      <w:color w:val="333333"/>
      <w:sz w:val="18"/>
      <w:szCs w:val="18"/>
    </w:rPr>
  </w:style>
  <w:style w:type="character" w:styleId="1090" w:customStyle="1">
    <w:name w:val="cfdate"/>
    <w:uiPriority w:val="0"/>
    <w:qFormat/>
    <w:rPr>
      <w:color w:val="333333"/>
      <w:sz w:val="18"/>
      <w:szCs w:val="18"/>
    </w:rPr>
  </w:style>
  <w:style w:type="character" w:styleId="1091" w:customStyle="1">
    <w:name w:val="prev2"/>
    <w:uiPriority w:val="0"/>
    <w:qFormat/>
    <w:rPr>
      <w:color w:val="888888"/>
    </w:rPr>
  </w:style>
  <w:style w:type="character" w:styleId="1092" w:customStyle="1">
    <w:name w:val="prev3"/>
    <w:uiPriority w:val="0"/>
    <w:qFormat/>
    <w:rPr>
      <w:rFonts w:ascii="微软雅黑" w:hAnsi="微软雅黑" w:eastAsia="微软雅黑" w:cs="微软雅黑"/>
      <w:sz w:val="21"/>
      <w:szCs w:val="21"/>
    </w:rPr>
  </w:style>
  <w:style w:type="character" w:styleId="1093" w:customStyle="1">
    <w:name w:val="next2"/>
    <w:uiPriority w:val="0"/>
    <w:qFormat/>
    <w:rPr>
      <w:color w:val="888888"/>
    </w:rPr>
  </w:style>
  <w:style w:type="character" w:styleId="1094" w:customStyle="1">
    <w:name w:val="next3"/>
    <w:uiPriority w:val="0"/>
    <w:qFormat/>
    <w:rPr>
      <w:rFonts w:hint="eastAsia" w:ascii="微软雅黑" w:hAnsi="微软雅黑" w:eastAsia="微软雅黑" w:cs="微软雅黑"/>
      <w:sz w:val="21"/>
      <w:szCs w:val="21"/>
    </w:rPr>
  </w:style>
  <w:style w:type="character" w:styleId="1095" w:customStyle="1">
    <w:name w:val="displayarti"/>
    <w:uiPriority w:val="0"/>
    <w:qFormat/>
    <w:rPr>
      <w:color w:val="ffffff"/>
      <w:shd w:val="clear" w:color="auto" w:fill="a00000"/>
    </w:rPr>
  </w:style>
  <w:style w:type="character" w:styleId="1096" w:customStyle="1">
    <w:name w:val="redfilefwwh"/>
    <w:uiPriority w:val="0"/>
    <w:qFormat/>
    <w:rPr>
      <w:color w:val="ba2636"/>
      <w:sz w:val="18"/>
      <w:szCs w:val="18"/>
    </w:rPr>
  </w:style>
  <w:style w:type="character" w:styleId="1097" w:customStyle="1">
    <w:name w:val="next"/>
    <w:uiPriority w:val="0"/>
    <w:qFormat/>
    <w:rPr>
      <w:rFonts w:ascii="微软雅黑" w:hAnsi="微软雅黑" w:eastAsia="微软雅黑" w:cs="微软雅黑"/>
      <w:sz w:val="21"/>
      <w:szCs w:val="21"/>
    </w:rPr>
  </w:style>
  <w:style w:type="character" w:styleId="1098" w:customStyle="1">
    <w:name w:val="next1"/>
    <w:uiPriority w:val="0"/>
    <w:qFormat/>
    <w:rPr>
      <w:color w:val="888888"/>
    </w:rPr>
  </w:style>
  <w:style w:type="character" w:styleId="1099" w:customStyle="1">
    <w:name w:val="prev"/>
    <w:uiPriority w:val="0"/>
    <w:qFormat/>
    <w:rPr>
      <w:color w:val="888888"/>
    </w:rPr>
  </w:style>
  <w:style w:type="character" w:styleId="1100" w:customStyle="1">
    <w:name w:val="prev1"/>
    <w:uiPriority w:val="0"/>
    <w:qFormat/>
    <w:rPr>
      <w:rFonts w:ascii="微软雅黑" w:hAnsi="微软雅黑" w:eastAsia="微软雅黑" w:cs="微软雅黑"/>
      <w:sz w:val="21"/>
      <w:szCs w:val="21"/>
    </w:rPr>
  </w:style>
  <w:style w:type="paragraph" w:styleId="1101" w:customStyle="1">
    <w:name w:val="修订3"/>
    <w:uiPriority w:val="99"/>
    <w:unhideWhenUsed/>
    <w:qFormat/>
    <w:rPr>
      <w:rFonts w:ascii="Calibri" w:hAnsi="Calibri" w:eastAsia="宋体" w:cs="Times New Roman"/>
      <w:sz w:val="21"/>
      <w:szCs w:val="24"/>
      <w:lang w:val="en-US" w:eastAsia="zh-CN" w:bidi="ar-SA"/>
    </w:rPr>
  </w:style>
  <w:style w:type="paragraph" w:styleId="1102" w:customStyle="1">
    <w:name w:val="Blockquote"/>
    <w:basedOn w:val="835"/>
    <w:uiPriority w:val="0"/>
    <w:qFormat/>
    <w:pPr>
      <w:ind w:left="360" w:right="360"/>
    </w:pPr>
    <w:rPr>
      <w:sz w:val="24"/>
    </w:rPr>
  </w:style>
  <w:style w:type="paragraph" w:styleId="1103" w:customStyle="1">
    <w:name w:val="样式 标题 3 + (中文) 黑体 小四 非加粗 段前: 7.8 磅 段后: 0 磅 行距: 固定值 20 磅"/>
    <w:basedOn w:val="1034"/>
    <w:uiPriority w:val="0"/>
    <w:qFormat/>
    <w:pPr>
      <w:spacing w:line="400" w:lineRule="exact"/>
    </w:pPr>
    <w:rPr>
      <w:rFonts w:eastAsia="黑体"/>
      <w:b w:val="0"/>
      <w:bCs w:val="0"/>
      <w:sz w:val="24"/>
    </w:rPr>
  </w:style>
  <w:style w:type="paragraph" w:styleId="1104" w:customStyle="1">
    <w:name w:val="标题 31"/>
    <w:basedOn w:val="1105"/>
    <w:next w:val="1105"/>
    <w:uiPriority w:val="0"/>
    <w:qFormat/>
    <w:pPr>
      <w:keepLines/>
      <w:keepNext/>
      <w:spacing w:before="260" w:after="260" w:line="413" w:lineRule="auto"/>
      <w:outlineLvl w:val="2"/>
    </w:pPr>
    <w:rPr>
      <w:b/>
      <w:sz w:val="32"/>
    </w:rPr>
  </w:style>
  <w:style w:type="paragraph" w:styleId="1105" w:customStyle="1">
    <w:name w:val="正文11"/>
    <w:uiPriority w:val="0"/>
    <w:qFormat/>
    <w:rPr>
      <w:rFonts w:ascii="Times New Roman" w:hAnsi="Times New Roman" w:eastAsia="宋体" w:cs="Times New Roman"/>
      <w:lang w:val="en-US" w:eastAsia="zh-CN" w:bidi="ar-SA"/>
    </w:rPr>
  </w:style>
  <w:style w:type="paragraph" w:styleId="1106" w:customStyle="1">
    <w:name w:val="标题 41"/>
    <w:basedOn w:val="835"/>
    <w:next w:val="835"/>
    <w:uiPriority w:val="0"/>
    <w:qFormat/>
    <w:pPr>
      <w:keepLines/>
      <w:keepNext/>
      <w:spacing w:before="280" w:after="290" w:line="372" w:lineRule="auto"/>
      <w:outlineLvl w:val="3"/>
    </w:pPr>
    <w:rPr>
      <w:rFonts w:ascii="Arial" w:hAnsi="Arial" w:eastAsia="黑体"/>
      <w:b/>
      <w:sz w:val="28"/>
    </w:rPr>
  </w:style>
  <w:style w:type="paragraph" w:styleId="1107" w:customStyle="1">
    <w:name w:val="批注主题1"/>
    <w:basedOn w:val="1108"/>
    <w:next w:val="1109"/>
    <w:uiPriority w:val="0"/>
    <w:qFormat/>
    <w:rPr>
      <w:b/>
      <w:bCs/>
    </w:rPr>
  </w:style>
  <w:style w:type="paragraph" w:styleId="1108" w:customStyle="1">
    <w:name w:val="批注文字1"/>
    <w:basedOn w:val="835"/>
    <w:uiPriority w:val="0"/>
    <w:qFormat/>
    <w:pPr>
      <w:jc w:val="left"/>
    </w:pPr>
  </w:style>
  <w:style w:type="paragraph" w:styleId="1109" w:customStyle="1">
    <w:name w:val="Plain Text1"/>
    <w:basedOn w:val="835"/>
    <w:uiPriority w:val="0"/>
    <w:qFormat/>
    <w:pPr>
      <w:ind w:firstLine="3584"/>
      <w:spacing w:line="360" w:lineRule="auto"/>
    </w:pPr>
  </w:style>
  <w:style w:type="paragraph" w:styleId="1110" w:customStyle="1">
    <w:name w:val="目录 71"/>
    <w:basedOn w:val="835"/>
    <w:next w:val="835"/>
    <w:uiPriority w:val="0"/>
    <w:qFormat/>
    <w:pPr>
      <w:ind w:left="2520"/>
    </w:pPr>
  </w:style>
  <w:style w:type="paragraph" w:styleId="1111" w:customStyle="1">
    <w:name w:val="纯文本1"/>
    <w:basedOn w:val="835"/>
    <w:uiPriority w:val="0"/>
    <w:qFormat/>
    <w:rPr>
      <w:rFonts w:ascii="宋体" w:hAnsi="Courier New" w:eastAsia="黑体"/>
      <w:szCs w:val="20"/>
    </w:rPr>
  </w:style>
  <w:style w:type="paragraph" w:styleId="1112" w:customStyle="1">
    <w:name w:val="BodyText1"/>
    <w:basedOn w:val="835"/>
    <w:uiPriority w:val="0"/>
    <w:qFormat/>
    <w:pPr>
      <w:spacing w:after="120"/>
    </w:pPr>
    <w:rPr>
      <w:sz w:val="20"/>
    </w:rPr>
  </w:style>
  <w:style w:type="paragraph" w:styleId="1113" w:customStyle="1">
    <w:name w:val="表格文字"/>
    <w:basedOn w:val="835"/>
    <w:next w:val="878"/>
    <w:uiPriority w:val="0"/>
    <w:qFormat/>
    <w:pPr>
      <w:jc w:val="left"/>
      <w:spacing w:line="420" w:lineRule="atLeast"/>
    </w:pPr>
    <w:rPr>
      <w:rFonts w:ascii="Times New Roman" w:hAnsi="Times New Roman"/>
      <w:szCs w:val="20"/>
    </w:rPr>
  </w:style>
  <w:style w:type="paragraph" w:styleId="1114" w:customStyle="1">
    <w:name w:val="索引 11"/>
    <w:basedOn w:val="835"/>
    <w:next w:val="835"/>
    <w:uiPriority w:val="0"/>
    <w:qFormat/>
    <w:rPr>
      <w:rFonts w:ascii="宋体" w:hAnsi="宋体"/>
      <w:szCs w:val="18"/>
    </w:rPr>
  </w:style>
  <w:style w:type="paragraph" w:styleId="1115" w:customStyle="1">
    <w:name w:val="BodyTextIndent1"/>
    <w:basedOn w:val="835"/>
    <w:uiPriority w:val="0"/>
    <w:qFormat/>
    <w:pPr>
      <w:ind w:left="200"/>
      <w:spacing w:after="120"/>
    </w:pPr>
  </w:style>
  <w:style w:type="character" w:styleId="1116" w:customStyle="1">
    <w:name w:val="NormalCharacter1"/>
    <w:uiPriority w:val="0"/>
    <w:qFormat/>
  </w:style>
  <w:style w:type="paragraph" w:styleId="1117" w:customStyle="1">
    <w:name w:val="UserStyle_187"/>
    <w:uiPriority w:val="0"/>
    <w:qFormat/>
    <w:pPr>
      <w:jc w:val="both"/>
    </w:pPr>
    <w:rPr>
      <w:rFonts w:ascii="Times New Roman" w:hAnsi="Times New Roman" w:eastAsia="宋体" w:cs="Times New Roman"/>
      <w:sz w:val="21"/>
      <w:szCs w:val="22"/>
      <w:lang w:val="en-US" w:eastAsia="zh-CN" w:bidi="ar-SA"/>
    </w:rPr>
  </w:style>
  <w:style w:type="paragraph" w:styleId="1118" w:customStyle="1">
    <w:name w:val="UserStyle_204"/>
    <w:basedOn w:val="1119"/>
    <w:next w:val="1119"/>
    <w:uiPriority w:val="0"/>
    <w:qFormat/>
    <w:pPr>
      <w:jc w:val="both"/>
      <w:keepLines/>
      <w:keepNext/>
      <w:spacing w:before="260" w:after="260" w:line="413" w:lineRule="auto"/>
    </w:pPr>
    <w:rPr>
      <w:b/>
      <w:sz w:val="32"/>
    </w:rPr>
  </w:style>
  <w:style w:type="paragraph" w:styleId="1119" w:customStyle="1">
    <w:name w:val="UserStyle_203"/>
    <w:uiPriority w:val="0"/>
    <w:qFormat/>
    <w:rPr>
      <w:rFonts w:ascii="Times New Roman" w:hAnsi="Times New Roman" w:eastAsia="宋体" w:cs="Times New Roman"/>
      <w:lang w:val="en-US" w:eastAsia="zh-CN" w:bidi="ar-SA"/>
    </w:rPr>
  </w:style>
  <w:style w:type="paragraph" w:styleId="1120" w:customStyle="1">
    <w:name w:val="纯文本111"/>
    <w:basedOn w:val="835"/>
    <w:next w:val="1033"/>
    <w:uiPriority w:val="99"/>
    <w:qFormat/>
    <w:rPr>
      <w:rFonts w:ascii="宋体" w:hAnsi="Courier New"/>
      <w:szCs w:val="20"/>
    </w:rPr>
  </w:style>
  <w:style w:type="paragraph" w:styleId="1121" w:customStyle="1">
    <w:name w:val="表格内容"/>
    <w:basedOn w:val="878"/>
    <w:uiPriority w:val="0"/>
    <w:qFormat/>
    <w:pPr>
      <w:jc w:val="left"/>
      <w:spacing w:after="120"/>
      <w:suppressLineNumbers/>
    </w:pPr>
    <w:rPr>
      <w:rFonts w:ascii="Times New Roman" w:hAnsi="Times New Roman" w:eastAsia="宋体" w:cs="Tahoma"/>
      <w:sz w:val="24"/>
      <w:szCs w:val="24"/>
    </w:rPr>
  </w:style>
  <w:style w:type="character" w:styleId="1122" w:customStyle="1">
    <w:name w:val="NormalCharacter"/>
    <w:uiPriority w:val="0"/>
    <w:qFormat/>
  </w:style>
  <w:style w:type="paragraph" w:styleId="112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124" w:customStyle="1">
    <w:name w:val="二级目录"/>
    <w:next w:val="835"/>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25" w:customStyle="1">
    <w:name w:val="Heading 2"/>
    <w:basedOn w:val="835"/>
    <w:next w:val="835"/>
    <w:uiPriority w:val="0"/>
    <w:qFormat/>
    <w:pPr>
      <w:jc w:val="center"/>
      <w:keepLines/>
      <w:keepNext/>
      <w:spacing w:before="260" w:after="260" w:line="412" w:lineRule="auto"/>
      <w:widowControl/>
    </w:pPr>
    <w:rPr>
      <w:rFonts w:ascii="Arial" w:hAnsi="Arial" w:eastAsia="楷体_GB2312" w:cs="Arial"/>
      <w:b/>
      <w:bCs/>
      <w:sz w:val="28"/>
      <w:szCs w:val="44"/>
    </w:rPr>
  </w:style>
  <w:style w:type="paragraph" w:styleId="1126" w:customStyle="1">
    <w:name w:val="首行缩进"/>
    <w:basedOn w:val="835"/>
    <w:uiPriority w:val="0"/>
    <w:qFormat/>
    <w:pPr>
      <w:ind w:firstLine="480"/>
      <w:spacing w:line="360" w:lineRule="auto"/>
    </w:pPr>
    <w:rPr>
      <w:rFonts w:hAnsi="宋体" w:cs="宋体"/>
      <w:sz w:val="24"/>
    </w:rPr>
  </w:style>
  <w:style w:type="paragraph" w:styleId="1127" w:customStyle="1">
    <w:name w:val="正文空2格  1."/>
    <w:basedOn w:val="835"/>
    <w:uiPriority w:val="0"/>
    <w:qFormat/>
    <w:pPr>
      <w:ind w:firstLine="480"/>
      <w:spacing w:line="360" w:lineRule="auto"/>
    </w:pPr>
    <w:rPr>
      <w:rFonts w:ascii="宋体" w:hAnsi="Times New Roman" w:eastAsia="仿宋" w:cs="宋体"/>
      <w:sz w:val="28"/>
      <w:szCs w:val="20"/>
    </w:rPr>
  </w:style>
  <w:style w:type="character" w:styleId="1128" w:customStyle="1">
    <w:name w:val="font112"/>
    <w:uiPriority w:val="0"/>
    <w:qFormat/>
    <w:rPr>
      <w:rFonts w:ascii="宋体" w:hAnsi="宋体" w:eastAsia="宋体" w:cs="宋体"/>
      <w:b/>
      <w:bCs/>
      <w:color w:val="000000"/>
      <w:sz w:val="16"/>
      <w:szCs w:val="16"/>
      <w:u w:val="none"/>
    </w:rPr>
  </w:style>
  <w:style w:type="character" w:styleId="1129" w:customStyle="1">
    <w:name w:val="font121"/>
    <w:uiPriority w:val="0"/>
    <w:qFormat/>
    <w:rPr>
      <w:rFonts w:ascii="宋体" w:hAnsi="宋体" w:eastAsia="宋体" w:cs="宋体"/>
      <w:b/>
      <w:bCs/>
      <w:color w:val="000000"/>
      <w:sz w:val="14"/>
      <w:szCs w:val="14"/>
      <w:u w:val="none"/>
    </w:rPr>
  </w:style>
  <w:style w:type="character" w:styleId="1130" w:customStyle="1">
    <w:name w:val="font131"/>
    <w:uiPriority w:val="0"/>
    <w:qFormat/>
    <w:rPr>
      <w:rFonts w:ascii="宋体" w:hAnsi="宋体" w:eastAsia="宋体" w:cs="宋体"/>
      <w:color w:val="000000"/>
      <w:sz w:val="14"/>
      <w:szCs w:val="14"/>
      <w:u w:val="none"/>
    </w:rPr>
  </w:style>
  <w:style w:type="character" w:styleId="1131" w:customStyle="1">
    <w:name w:val="font141"/>
    <w:uiPriority w:val="0"/>
    <w:qFormat/>
    <w:rPr>
      <w:rFonts w:ascii="宋体" w:hAnsi="宋体" w:eastAsia="宋体" w:cs="宋体"/>
      <w:color w:val="000000"/>
      <w:sz w:val="16"/>
      <w:szCs w:val="16"/>
      <w:u w:val="none"/>
    </w:rPr>
  </w:style>
  <w:style w:type="character" w:styleId="1132" w:customStyle="1">
    <w:name w:val="font151"/>
    <w:uiPriority w:val="0"/>
    <w:qFormat/>
    <w:rPr>
      <w:rFonts w:hint="eastAsia" w:ascii="仿宋" w:hAnsi="仿宋" w:eastAsia="仿宋" w:cs="仿宋"/>
      <w:color w:val="000000"/>
      <w:sz w:val="16"/>
      <w:szCs w:val="16"/>
      <w:u w:val="none"/>
    </w:rPr>
  </w:style>
  <w:style w:type="character" w:styleId="1133" w:customStyle="1">
    <w:name w:val="font161"/>
    <w:uiPriority w:val="0"/>
    <w:qFormat/>
    <w:rPr>
      <w:rFonts w:hint="eastAsia" w:ascii="仿宋" w:hAnsi="仿宋" w:eastAsia="仿宋" w:cs="仿宋"/>
      <w:color w:val="000000"/>
      <w:sz w:val="16"/>
      <w:szCs w:val="16"/>
      <w:u w:val="single"/>
    </w:rPr>
  </w:style>
  <w:style w:type="character" w:styleId="1134" w:customStyle="1">
    <w:name w:val="font171"/>
    <w:uiPriority w:val="0"/>
    <w:qFormat/>
    <w:rPr>
      <w:rFonts w:hint="eastAsia" w:ascii="仿宋" w:hAnsi="仿宋" w:eastAsia="仿宋" w:cs="仿宋"/>
      <w:color w:val="000000"/>
      <w:sz w:val="14"/>
      <w:szCs w:val="14"/>
      <w:u w:val="none"/>
    </w:rPr>
  </w:style>
  <w:style w:type="character" w:styleId="1135" w:customStyle="1">
    <w:name w:val="font181"/>
    <w:uiPriority w:val="0"/>
    <w:qFormat/>
    <w:rPr>
      <w:rFonts w:hint="eastAsia" w:ascii="仿宋" w:hAnsi="仿宋" w:eastAsia="仿宋" w:cs="仿宋"/>
      <w:color w:val="000000"/>
      <w:sz w:val="14"/>
      <w:szCs w:val="14"/>
      <w:u w:val="single"/>
    </w:rPr>
  </w:style>
  <w:style w:type="paragraph" w:styleId="1136" w:customStyle="1">
    <w:name w:val="正文文本缩进 21"/>
    <w:basedOn w:val="835"/>
    <w:uiPriority w:val="0"/>
    <w:unhideWhenUsed/>
    <w:qFormat/>
    <w:pPr>
      <w:ind w:left="420"/>
      <w:spacing w:after="120" w:line="480" w:lineRule="auto"/>
    </w:p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祝云</cp:lastModifiedBy>
  <cp:revision>31</cp:revision>
  <dcterms:created xsi:type="dcterms:W3CDTF">2024-03-15T08:38:00Z</dcterms:created>
  <dcterms:modified xsi:type="dcterms:W3CDTF">2025-12-05T04:38:12Z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656E6380E0EB4974ADED4380CC0BAB82_13</vt:lpwstr>
  </property>
  <property fmtid="{D5CDD505-2E9C-101B-9397-08002B2CF9AE}" pid="4" name="KSOTemplateDocerSaveRecord">
    <vt:lpwstr>eyJoZGlkIjoiNTYxYWE0NjJkYWE0NTE1NDAyM2IxOWRkMDE3MjE0ZTciLCJ1c2VySWQiOiI0MDczODczNTAifQ==</vt:lpwstr>
  </property>
</Properties>
</file>